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08778" w14:textId="77777777" w:rsidR="00B26C83" w:rsidRDefault="00C93EB7" w:rsidP="00A0280D">
      <w:pPr>
        <w:jc w:val="center"/>
        <w:rPr>
          <w:rFonts w:ascii="Times New Roman" w:hAnsi="Times New Roman" w:cs="Times New Roman"/>
          <w:b/>
          <w:sz w:val="28"/>
          <w:szCs w:val="28"/>
        </w:rPr>
      </w:pPr>
      <w:r w:rsidRPr="00844B60">
        <w:rPr>
          <w:rFonts w:ascii="Times New Roman" w:hAnsi="Times New Roman" w:cs="Times New Roman"/>
          <w:b/>
          <w:sz w:val="28"/>
          <w:szCs w:val="28"/>
        </w:rPr>
        <w:t>Reducing Evaluation Uncertainty in Large Custom Projects</w:t>
      </w:r>
    </w:p>
    <w:p w14:paraId="1BDBB879" w14:textId="77777777" w:rsidR="005173AB" w:rsidRPr="00844B60" w:rsidRDefault="005173AB" w:rsidP="00A0280D">
      <w:pPr>
        <w:jc w:val="center"/>
        <w:rPr>
          <w:rFonts w:ascii="Times New Roman" w:hAnsi="Times New Roman" w:cs="Times New Roman"/>
          <w:b/>
          <w:sz w:val="28"/>
          <w:szCs w:val="28"/>
        </w:rPr>
      </w:pPr>
    </w:p>
    <w:p w14:paraId="6439F676" w14:textId="77777777" w:rsidR="009321CC" w:rsidRDefault="009321CC" w:rsidP="00A0280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center"/>
        <w:rPr>
          <w:rFonts w:ascii="Times New Roman" w:hAnsi="Times New Roman" w:cs="Times New Roman"/>
          <w:i/>
          <w:iCs/>
          <w:sz w:val="24"/>
          <w:szCs w:val="24"/>
        </w:rPr>
      </w:pPr>
      <w:r w:rsidRPr="00844B60">
        <w:rPr>
          <w:rFonts w:ascii="Times New Roman" w:hAnsi="Times New Roman" w:cs="Times New Roman"/>
          <w:i/>
          <w:iCs/>
          <w:sz w:val="24"/>
          <w:szCs w:val="24"/>
        </w:rPr>
        <w:t>Julianne Meurice, Navigant Consulting, Chicago, IL</w:t>
      </w:r>
      <w:r w:rsidRPr="00844B60">
        <w:rPr>
          <w:rFonts w:ascii="Times New Roman" w:hAnsi="Times New Roman" w:cs="Times New Roman"/>
          <w:i/>
          <w:iCs/>
          <w:sz w:val="24"/>
          <w:szCs w:val="24"/>
        </w:rPr>
        <w:br/>
        <w:t>Nick Beaman, Navigant Consulting, Burlington, VT</w:t>
      </w:r>
      <w:r w:rsidRPr="00844B60">
        <w:rPr>
          <w:rFonts w:ascii="Times New Roman" w:hAnsi="Times New Roman" w:cs="Times New Roman"/>
          <w:i/>
          <w:iCs/>
          <w:sz w:val="24"/>
          <w:szCs w:val="24"/>
        </w:rPr>
        <w:br/>
        <w:t>Lorraine Renta, Navigant Consulting, Verona, WI</w:t>
      </w:r>
      <w:r w:rsidRPr="00844B60">
        <w:rPr>
          <w:rFonts w:ascii="Times New Roman" w:hAnsi="Times New Roman" w:cs="Times New Roman"/>
          <w:i/>
          <w:iCs/>
          <w:sz w:val="24"/>
          <w:szCs w:val="24"/>
        </w:rPr>
        <w:br/>
        <w:t>Jim Jerozal, Nicor Gas, Naperville, IL</w:t>
      </w:r>
      <w:r w:rsidRPr="00844B60">
        <w:rPr>
          <w:rFonts w:ascii="Times New Roman" w:hAnsi="Times New Roman" w:cs="Times New Roman"/>
          <w:i/>
          <w:iCs/>
          <w:sz w:val="24"/>
          <w:szCs w:val="24"/>
        </w:rPr>
        <w:br/>
        <w:t>Scott Dimetrosky, Apex Analytics LLC, Boulder, CO</w:t>
      </w:r>
      <w:r w:rsidRPr="00844B60">
        <w:rPr>
          <w:rFonts w:ascii="Times New Roman" w:hAnsi="Times New Roman" w:cs="Times New Roman"/>
          <w:i/>
          <w:iCs/>
          <w:sz w:val="24"/>
          <w:szCs w:val="24"/>
        </w:rPr>
        <w:br/>
        <w:t>Nathan Warren, CLEAResult, Madison, WI</w:t>
      </w:r>
    </w:p>
    <w:p w14:paraId="5740CB2E" w14:textId="77777777" w:rsidR="005173AB" w:rsidRDefault="005173AB" w:rsidP="00A0280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center"/>
        <w:rPr>
          <w:rFonts w:ascii="Times New Roman" w:hAnsi="Times New Roman" w:cs="Times New Roman"/>
          <w:i/>
          <w:iCs/>
          <w:sz w:val="24"/>
          <w:szCs w:val="24"/>
        </w:rPr>
      </w:pPr>
    </w:p>
    <w:p w14:paraId="3C2EAC26" w14:textId="77777777" w:rsidR="00C26555" w:rsidRPr="00844B60" w:rsidRDefault="00C26555" w:rsidP="00A0280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center"/>
        <w:rPr>
          <w:rFonts w:ascii="Times New Roman" w:hAnsi="Times New Roman" w:cs="Times New Roman"/>
          <w:i/>
          <w:iCs/>
          <w:sz w:val="24"/>
          <w:szCs w:val="24"/>
        </w:rPr>
      </w:pPr>
    </w:p>
    <w:p w14:paraId="5754AA33" w14:textId="77777777" w:rsidR="00C93EB7" w:rsidRDefault="00C93EB7" w:rsidP="00A44B75">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rPr>
          <w:rFonts w:ascii="Times New Roman" w:hAnsi="Times New Roman" w:cs="Times New Roman"/>
          <w:b/>
          <w:sz w:val="28"/>
          <w:szCs w:val="28"/>
        </w:rPr>
      </w:pPr>
      <w:r w:rsidRPr="00844B60">
        <w:rPr>
          <w:rFonts w:ascii="Times New Roman" w:hAnsi="Times New Roman" w:cs="Times New Roman"/>
          <w:b/>
          <w:sz w:val="28"/>
          <w:szCs w:val="28"/>
        </w:rPr>
        <w:t>A</w:t>
      </w:r>
      <w:r w:rsidR="008A14E2">
        <w:rPr>
          <w:rFonts w:ascii="Times New Roman" w:hAnsi="Times New Roman" w:cs="Times New Roman"/>
          <w:b/>
          <w:sz w:val="28"/>
          <w:szCs w:val="28"/>
        </w:rPr>
        <w:t>BSTRACT</w:t>
      </w:r>
    </w:p>
    <w:p w14:paraId="0B390B7D" w14:textId="77777777" w:rsidR="00F170CF" w:rsidRPr="00844B60" w:rsidRDefault="00F170CF" w:rsidP="00A44B75">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rPr>
          <w:rFonts w:ascii="Times New Roman" w:hAnsi="Times New Roman" w:cs="Times New Roman"/>
          <w:i/>
          <w:iCs/>
          <w:sz w:val="28"/>
          <w:szCs w:val="28"/>
        </w:rPr>
      </w:pPr>
    </w:p>
    <w:p w14:paraId="04A932C1" w14:textId="7A6A0397" w:rsidR="000668B3" w:rsidRPr="008B1AE0" w:rsidRDefault="005B7A6D" w:rsidP="00A0280D">
      <w:pPr>
        <w:ind w:firstLine="720"/>
        <w:rPr>
          <w:rFonts w:ascii="Times New Roman" w:hAnsi="Times New Roman" w:cs="Times New Roman"/>
          <w:sz w:val="24"/>
          <w:szCs w:val="24"/>
        </w:rPr>
      </w:pPr>
      <w:r w:rsidRPr="008B1AE0">
        <w:rPr>
          <w:rFonts w:ascii="Times New Roman" w:hAnsi="Times New Roman" w:cs="Times New Roman"/>
          <w:sz w:val="24"/>
          <w:szCs w:val="24"/>
        </w:rPr>
        <w:t>Custom commercial and industrial</w:t>
      </w:r>
      <w:r w:rsidR="009E58F9" w:rsidRPr="008B1AE0">
        <w:rPr>
          <w:rFonts w:ascii="Times New Roman" w:hAnsi="Times New Roman" w:cs="Times New Roman"/>
          <w:sz w:val="24"/>
          <w:szCs w:val="24"/>
        </w:rPr>
        <w:t xml:space="preserve"> (C&amp;I)</w:t>
      </w:r>
      <w:r w:rsidRPr="008B1AE0">
        <w:rPr>
          <w:rFonts w:ascii="Times New Roman" w:hAnsi="Times New Roman" w:cs="Times New Roman"/>
          <w:sz w:val="24"/>
          <w:szCs w:val="24"/>
        </w:rPr>
        <w:t xml:space="preserve"> projects deliver a significant and growing share of total annual savings in virtually all energy efficiency</w:t>
      </w:r>
      <w:r w:rsidR="009E58F9" w:rsidRPr="008B1AE0">
        <w:rPr>
          <w:rFonts w:ascii="Times New Roman" w:hAnsi="Times New Roman" w:cs="Times New Roman"/>
          <w:sz w:val="24"/>
          <w:szCs w:val="24"/>
        </w:rPr>
        <w:t xml:space="preserve"> </w:t>
      </w:r>
      <w:r w:rsidR="008B1AE0" w:rsidRPr="008B1AE0">
        <w:rPr>
          <w:rFonts w:ascii="Times New Roman" w:hAnsi="Times New Roman" w:cs="Times New Roman"/>
          <w:sz w:val="24"/>
          <w:szCs w:val="24"/>
        </w:rPr>
        <w:t>(</w:t>
      </w:r>
      <w:r w:rsidR="009E58F9" w:rsidRPr="008B1AE0">
        <w:rPr>
          <w:rFonts w:ascii="Times New Roman" w:hAnsi="Times New Roman" w:cs="Times New Roman"/>
          <w:sz w:val="24"/>
          <w:szCs w:val="24"/>
        </w:rPr>
        <w:t>EE)</w:t>
      </w:r>
      <w:r w:rsidRPr="008B1AE0">
        <w:rPr>
          <w:rFonts w:ascii="Times New Roman" w:hAnsi="Times New Roman" w:cs="Times New Roman"/>
          <w:sz w:val="24"/>
          <w:szCs w:val="24"/>
        </w:rPr>
        <w:t xml:space="preserve"> </w:t>
      </w:r>
      <w:r w:rsidR="00370247">
        <w:rPr>
          <w:rFonts w:ascii="Times New Roman" w:hAnsi="Times New Roman" w:cs="Times New Roman"/>
          <w:sz w:val="24"/>
          <w:szCs w:val="24"/>
        </w:rPr>
        <w:t>portfolios.  B</w:t>
      </w:r>
      <w:r w:rsidRPr="008B1AE0">
        <w:rPr>
          <w:rFonts w:ascii="Times New Roman" w:hAnsi="Times New Roman" w:cs="Times New Roman"/>
          <w:sz w:val="24"/>
          <w:szCs w:val="24"/>
        </w:rPr>
        <w:t xml:space="preserve">ecause the program savings </w:t>
      </w:r>
      <w:r w:rsidR="009A3C7F">
        <w:rPr>
          <w:rFonts w:ascii="Times New Roman" w:hAnsi="Times New Roman" w:cs="Times New Roman"/>
          <w:sz w:val="24"/>
          <w:szCs w:val="24"/>
        </w:rPr>
        <w:t>are</w:t>
      </w:r>
      <w:r w:rsidRPr="008B1AE0">
        <w:rPr>
          <w:rFonts w:ascii="Times New Roman" w:hAnsi="Times New Roman" w:cs="Times New Roman"/>
          <w:sz w:val="24"/>
          <w:szCs w:val="24"/>
        </w:rPr>
        <w:t xml:space="preserve"> </w:t>
      </w:r>
      <w:r w:rsidR="00860BFF" w:rsidRPr="008B1AE0">
        <w:rPr>
          <w:rFonts w:ascii="Times New Roman" w:hAnsi="Times New Roman" w:cs="Times New Roman"/>
          <w:sz w:val="24"/>
          <w:szCs w:val="24"/>
        </w:rPr>
        <w:t>not based on</w:t>
      </w:r>
      <w:r w:rsidRPr="008B1AE0">
        <w:rPr>
          <w:rFonts w:ascii="Times New Roman" w:hAnsi="Times New Roman" w:cs="Times New Roman"/>
          <w:sz w:val="24"/>
          <w:szCs w:val="24"/>
        </w:rPr>
        <w:t xml:space="preserve"> </w:t>
      </w:r>
      <w:r w:rsidR="00370247">
        <w:rPr>
          <w:rFonts w:ascii="Times New Roman" w:hAnsi="Times New Roman" w:cs="Times New Roman"/>
          <w:sz w:val="24"/>
          <w:szCs w:val="24"/>
        </w:rPr>
        <w:t>pre-determined</w:t>
      </w:r>
      <w:r w:rsidRPr="008B1AE0">
        <w:rPr>
          <w:rFonts w:ascii="Times New Roman" w:hAnsi="Times New Roman" w:cs="Times New Roman"/>
          <w:sz w:val="24"/>
          <w:szCs w:val="24"/>
        </w:rPr>
        <w:t xml:space="preserve"> (deemed) </w:t>
      </w:r>
      <w:r w:rsidR="00370247">
        <w:rPr>
          <w:rFonts w:ascii="Times New Roman" w:hAnsi="Times New Roman" w:cs="Times New Roman"/>
          <w:sz w:val="24"/>
          <w:szCs w:val="24"/>
        </w:rPr>
        <w:t xml:space="preserve">measure </w:t>
      </w:r>
      <w:r w:rsidRPr="008B1AE0">
        <w:rPr>
          <w:rFonts w:ascii="Times New Roman" w:hAnsi="Times New Roman" w:cs="Times New Roman"/>
          <w:sz w:val="24"/>
          <w:szCs w:val="24"/>
        </w:rPr>
        <w:t xml:space="preserve">gross savings values, the verified project gross savings can deviate significantly – up or down </w:t>
      </w:r>
      <w:r w:rsidR="00370247" w:rsidRPr="008B1AE0">
        <w:rPr>
          <w:rFonts w:ascii="Times New Roman" w:hAnsi="Times New Roman" w:cs="Times New Roman"/>
          <w:sz w:val="24"/>
          <w:szCs w:val="24"/>
        </w:rPr>
        <w:t>–</w:t>
      </w:r>
      <w:r w:rsidRPr="008B1AE0">
        <w:rPr>
          <w:rFonts w:ascii="Times New Roman" w:hAnsi="Times New Roman" w:cs="Times New Roman"/>
          <w:sz w:val="24"/>
          <w:szCs w:val="24"/>
        </w:rPr>
        <w:t xml:space="preserve"> from the initial program-reported</w:t>
      </w:r>
      <w:r w:rsidRPr="008B1AE0">
        <w:rPr>
          <w:rFonts w:ascii="Times New Roman" w:hAnsi="Times New Roman" w:cs="Times New Roman"/>
          <w:i/>
          <w:sz w:val="24"/>
          <w:szCs w:val="24"/>
        </w:rPr>
        <w:t xml:space="preserve"> </w:t>
      </w:r>
      <w:r w:rsidRPr="008B1AE0">
        <w:rPr>
          <w:rFonts w:ascii="Times New Roman" w:hAnsi="Times New Roman" w:cs="Times New Roman"/>
          <w:sz w:val="24"/>
          <w:szCs w:val="24"/>
        </w:rPr>
        <w:t>values</w:t>
      </w:r>
      <w:r w:rsidR="00370247">
        <w:rPr>
          <w:rFonts w:ascii="Times New Roman" w:hAnsi="Times New Roman" w:cs="Times New Roman"/>
          <w:sz w:val="24"/>
          <w:szCs w:val="24"/>
        </w:rPr>
        <w:t xml:space="preserve">, and the resulting </w:t>
      </w:r>
      <w:r w:rsidR="00ED5FC3" w:rsidRPr="008B1AE0">
        <w:rPr>
          <w:rFonts w:ascii="Times New Roman" w:hAnsi="Times New Roman" w:cs="Times New Roman"/>
          <w:sz w:val="24"/>
          <w:szCs w:val="24"/>
        </w:rPr>
        <w:t>realization rate</w:t>
      </w:r>
      <w:r w:rsidR="000E6580" w:rsidRPr="008B1AE0">
        <w:rPr>
          <w:rFonts w:ascii="Times New Roman" w:hAnsi="Times New Roman" w:cs="Times New Roman"/>
          <w:sz w:val="24"/>
          <w:szCs w:val="24"/>
        </w:rPr>
        <w:t xml:space="preserve"> (RR)</w:t>
      </w:r>
      <w:r w:rsidR="00370247">
        <w:rPr>
          <w:rFonts w:ascii="Times New Roman" w:hAnsi="Times New Roman" w:cs="Times New Roman"/>
          <w:sz w:val="24"/>
          <w:szCs w:val="24"/>
        </w:rPr>
        <w:t xml:space="preserve"> can be</w:t>
      </w:r>
      <w:r w:rsidR="00ED5FC3" w:rsidRPr="008B1AE0">
        <w:rPr>
          <w:rFonts w:ascii="Times New Roman" w:hAnsi="Times New Roman" w:cs="Times New Roman"/>
          <w:sz w:val="24"/>
          <w:szCs w:val="24"/>
        </w:rPr>
        <w:t xml:space="preserve"> significantly different from 1.0.</w:t>
      </w:r>
      <w:r w:rsidRPr="008B1AE0">
        <w:rPr>
          <w:rFonts w:ascii="Times New Roman" w:hAnsi="Times New Roman" w:cs="Times New Roman"/>
          <w:sz w:val="24"/>
          <w:szCs w:val="24"/>
        </w:rPr>
        <w:t xml:space="preserve"> The uncertainty of the net-to-gross ratio (NTGR) </w:t>
      </w:r>
      <w:r w:rsidR="003C05D6" w:rsidRPr="008B1AE0">
        <w:rPr>
          <w:rFonts w:ascii="Times New Roman" w:hAnsi="Times New Roman" w:cs="Times New Roman"/>
          <w:sz w:val="24"/>
          <w:szCs w:val="24"/>
        </w:rPr>
        <w:t>further</w:t>
      </w:r>
      <w:r w:rsidRPr="008B1AE0">
        <w:rPr>
          <w:rFonts w:ascii="Times New Roman" w:hAnsi="Times New Roman" w:cs="Times New Roman"/>
          <w:sz w:val="24"/>
          <w:szCs w:val="24"/>
        </w:rPr>
        <w:t xml:space="preserve"> increases the variability of </w:t>
      </w:r>
      <w:r w:rsidR="003C05D6" w:rsidRPr="008B1AE0">
        <w:rPr>
          <w:rFonts w:ascii="Times New Roman" w:hAnsi="Times New Roman" w:cs="Times New Roman"/>
          <w:sz w:val="24"/>
          <w:szCs w:val="24"/>
        </w:rPr>
        <w:t>the final program savings</w:t>
      </w:r>
      <w:r w:rsidRPr="008B1AE0">
        <w:rPr>
          <w:rFonts w:ascii="Times New Roman" w:hAnsi="Times New Roman" w:cs="Times New Roman"/>
          <w:sz w:val="24"/>
          <w:szCs w:val="24"/>
        </w:rPr>
        <w:t xml:space="preserve">.  This final savings uncertainty presents a considerable risk for utilities that have state </w:t>
      </w:r>
      <w:r w:rsidR="009E58F9" w:rsidRPr="008B1AE0">
        <w:rPr>
          <w:rFonts w:ascii="Times New Roman" w:hAnsi="Times New Roman" w:cs="Times New Roman"/>
          <w:sz w:val="24"/>
          <w:szCs w:val="24"/>
        </w:rPr>
        <w:t>EE</w:t>
      </w:r>
      <w:r w:rsidRPr="008B1AE0">
        <w:rPr>
          <w:rFonts w:ascii="Times New Roman" w:hAnsi="Times New Roman" w:cs="Times New Roman"/>
          <w:sz w:val="24"/>
          <w:szCs w:val="24"/>
        </w:rPr>
        <w:t xml:space="preserve"> </w:t>
      </w:r>
      <w:r w:rsidR="007E622D">
        <w:rPr>
          <w:rFonts w:ascii="Times New Roman" w:hAnsi="Times New Roman" w:cs="Times New Roman"/>
          <w:sz w:val="24"/>
          <w:szCs w:val="24"/>
        </w:rPr>
        <w:t xml:space="preserve">savings </w:t>
      </w:r>
      <w:r w:rsidRPr="008B1AE0">
        <w:rPr>
          <w:rFonts w:ascii="Times New Roman" w:hAnsi="Times New Roman" w:cs="Times New Roman"/>
          <w:sz w:val="24"/>
          <w:szCs w:val="24"/>
        </w:rPr>
        <w:t xml:space="preserve">targets with penalties or rewards attached to their achievement. Frequently, these variations can make the difference between attaining and not attaining the mandated savings goals and paying or not paying the penalty. For utilities without </w:t>
      </w:r>
      <w:r w:rsidR="00BA14B6">
        <w:rPr>
          <w:rFonts w:ascii="Times New Roman" w:hAnsi="Times New Roman" w:cs="Times New Roman"/>
          <w:sz w:val="24"/>
          <w:szCs w:val="24"/>
        </w:rPr>
        <w:t>mandated savings</w:t>
      </w:r>
      <w:r w:rsidR="00BA14B6" w:rsidRPr="008B1AE0">
        <w:rPr>
          <w:rFonts w:ascii="Times New Roman" w:hAnsi="Times New Roman" w:cs="Times New Roman"/>
          <w:sz w:val="24"/>
          <w:szCs w:val="24"/>
        </w:rPr>
        <w:t xml:space="preserve"> </w:t>
      </w:r>
      <w:r w:rsidRPr="008B1AE0">
        <w:rPr>
          <w:rFonts w:ascii="Times New Roman" w:hAnsi="Times New Roman" w:cs="Times New Roman"/>
          <w:sz w:val="24"/>
          <w:szCs w:val="24"/>
        </w:rPr>
        <w:t xml:space="preserve">goals, </w:t>
      </w:r>
      <w:r w:rsidR="00C5162C">
        <w:rPr>
          <w:rFonts w:ascii="Times New Roman" w:hAnsi="Times New Roman" w:cs="Times New Roman"/>
          <w:sz w:val="24"/>
          <w:szCs w:val="24"/>
        </w:rPr>
        <w:t xml:space="preserve">there is a lost opportunity to reallocate funds when </w:t>
      </w:r>
      <w:r w:rsidRPr="008B1AE0">
        <w:rPr>
          <w:rFonts w:ascii="Times New Roman" w:hAnsi="Times New Roman" w:cs="Times New Roman"/>
          <w:sz w:val="24"/>
          <w:szCs w:val="24"/>
        </w:rPr>
        <w:t xml:space="preserve">savings estimates </w:t>
      </w:r>
      <w:r w:rsidR="0055243A">
        <w:rPr>
          <w:rFonts w:ascii="Times New Roman" w:hAnsi="Times New Roman" w:cs="Times New Roman"/>
          <w:sz w:val="24"/>
          <w:szCs w:val="24"/>
        </w:rPr>
        <w:t>result in either</w:t>
      </w:r>
      <w:r w:rsidR="0055243A" w:rsidRPr="008B1AE0">
        <w:rPr>
          <w:rFonts w:ascii="Times New Roman" w:hAnsi="Times New Roman" w:cs="Times New Roman"/>
          <w:sz w:val="24"/>
          <w:szCs w:val="24"/>
        </w:rPr>
        <w:t xml:space="preserve"> </w:t>
      </w:r>
      <w:r w:rsidRPr="008B1AE0">
        <w:rPr>
          <w:rFonts w:ascii="Times New Roman" w:hAnsi="Times New Roman" w:cs="Times New Roman"/>
          <w:sz w:val="24"/>
          <w:szCs w:val="24"/>
        </w:rPr>
        <w:t>over or under-paying for savings</w:t>
      </w:r>
      <w:r w:rsidR="00265317">
        <w:rPr>
          <w:rFonts w:ascii="Times New Roman" w:hAnsi="Times New Roman" w:cs="Times New Roman"/>
          <w:sz w:val="24"/>
          <w:szCs w:val="24"/>
        </w:rPr>
        <w:t xml:space="preserve">, </w:t>
      </w:r>
      <w:r w:rsidR="00C5162C">
        <w:rPr>
          <w:rFonts w:ascii="Times New Roman" w:hAnsi="Times New Roman" w:cs="Times New Roman"/>
          <w:sz w:val="24"/>
          <w:szCs w:val="24"/>
        </w:rPr>
        <w:t xml:space="preserve">and </w:t>
      </w:r>
      <w:r w:rsidR="00265317">
        <w:rPr>
          <w:rFonts w:ascii="Times New Roman" w:hAnsi="Times New Roman" w:cs="Times New Roman"/>
          <w:sz w:val="24"/>
          <w:szCs w:val="24"/>
        </w:rPr>
        <w:t xml:space="preserve">program processes that </w:t>
      </w:r>
      <w:r w:rsidR="00C5162C">
        <w:rPr>
          <w:rFonts w:ascii="Times New Roman" w:hAnsi="Times New Roman" w:cs="Times New Roman"/>
          <w:sz w:val="24"/>
          <w:szCs w:val="24"/>
        </w:rPr>
        <w:t>need improvement</w:t>
      </w:r>
      <w:r w:rsidR="00265317">
        <w:rPr>
          <w:rFonts w:ascii="Times New Roman" w:hAnsi="Times New Roman" w:cs="Times New Roman"/>
          <w:sz w:val="24"/>
          <w:szCs w:val="24"/>
        </w:rPr>
        <w:t xml:space="preserve"> go unaddressed until after the end of the program year</w:t>
      </w:r>
      <w:r w:rsidRPr="008B1AE0">
        <w:rPr>
          <w:rFonts w:ascii="Times New Roman" w:hAnsi="Times New Roman" w:cs="Times New Roman"/>
          <w:sz w:val="24"/>
          <w:szCs w:val="24"/>
        </w:rPr>
        <w:t xml:space="preserve">. </w:t>
      </w:r>
    </w:p>
    <w:p w14:paraId="6A0CDB45" w14:textId="1616F703" w:rsidR="005B7A6D" w:rsidRPr="008B1AE0" w:rsidRDefault="005B7A6D" w:rsidP="00C26555">
      <w:pPr>
        <w:ind w:firstLine="720"/>
        <w:rPr>
          <w:rFonts w:ascii="Times New Roman" w:hAnsi="Times New Roman" w:cs="Times New Roman"/>
          <w:sz w:val="24"/>
          <w:szCs w:val="24"/>
        </w:rPr>
      </w:pPr>
      <w:r w:rsidRPr="008B1AE0">
        <w:rPr>
          <w:rFonts w:ascii="Times New Roman" w:hAnsi="Times New Roman" w:cs="Times New Roman"/>
          <w:sz w:val="24"/>
          <w:szCs w:val="24"/>
        </w:rPr>
        <w:t xml:space="preserve">This paper presents the story of the collaboration between </w:t>
      </w:r>
      <w:r w:rsidR="004F2606" w:rsidRPr="008B1AE0">
        <w:rPr>
          <w:rFonts w:ascii="Times New Roman" w:hAnsi="Times New Roman" w:cs="Times New Roman"/>
          <w:sz w:val="24"/>
          <w:szCs w:val="24"/>
        </w:rPr>
        <w:t>Nicor Gas</w:t>
      </w:r>
      <w:r w:rsidR="002E7408" w:rsidRPr="008B1AE0">
        <w:rPr>
          <w:rFonts w:ascii="Times New Roman" w:hAnsi="Times New Roman" w:cs="Times New Roman"/>
          <w:sz w:val="24"/>
          <w:szCs w:val="24"/>
        </w:rPr>
        <w:t xml:space="preserve"> and its evaluator to </w:t>
      </w:r>
      <w:r w:rsidRPr="008B1AE0">
        <w:rPr>
          <w:rFonts w:ascii="Times New Roman" w:hAnsi="Times New Roman" w:cs="Times New Roman"/>
          <w:sz w:val="24"/>
          <w:szCs w:val="24"/>
        </w:rPr>
        <w:t xml:space="preserve">reduce the uncertainty around custom program net savings.  </w:t>
      </w:r>
      <w:r w:rsidR="004F2606" w:rsidRPr="008B1AE0">
        <w:rPr>
          <w:rFonts w:ascii="Times New Roman" w:hAnsi="Times New Roman" w:cs="Times New Roman"/>
          <w:sz w:val="24"/>
          <w:szCs w:val="24"/>
        </w:rPr>
        <w:t>Nicor Gas</w:t>
      </w:r>
      <w:r w:rsidRPr="008B1AE0">
        <w:rPr>
          <w:rFonts w:ascii="Times New Roman" w:hAnsi="Times New Roman" w:cs="Times New Roman"/>
          <w:sz w:val="24"/>
          <w:szCs w:val="24"/>
        </w:rPr>
        <w:t xml:space="preserve"> has a three-year net savings target and </w:t>
      </w:r>
      <w:r w:rsidR="006B66D1">
        <w:rPr>
          <w:rFonts w:ascii="Times New Roman" w:hAnsi="Times New Roman" w:cs="Times New Roman"/>
          <w:sz w:val="24"/>
          <w:szCs w:val="24"/>
        </w:rPr>
        <w:t>is</w:t>
      </w:r>
      <w:r w:rsidRPr="008B1AE0">
        <w:rPr>
          <w:rFonts w:ascii="Times New Roman" w:hAnsi="Times New Roman" w:cs="Times New Roman"/>
          <w:sz w:val="24"/>
          <w:szCs w:val="24"/>
        </w:rPr>
        <w:t xml:space="preserve"> subject to </w:t>
      </w:r>
      <w:r w:rsidR="004F2606" w:rsidRPr="008B1AE0">
        <w:rPr>
          <w:rFonts w:ascii="Times New Roman" w:hAnsi="Times New Roman" w:cs="Times New Roman"/>
          <w:sz w:val="24"/>
          <w:szCs w:val="24"/>
        </w:rPr>
        <w:t xml:space="preserve">$600,000 in </w:t>
      </w:r>
      <w:r w:rsidRPr="008B1AE0">
        <w:rPr>
          <w:rFonts w:ascii="Times New Roman" w:hAnsi="Times New Roman" w:cs="Times New Roman"/>
          <w:sz w:val="24"/>
          <w:szCs w:val="24"/>
        </w:rPr>
        <w:t xml:space="preserve">penalties if the </w:t>
      </w:r>
      <w:r w:rsidR="00370247">
        <w:rPr>
          <w:rFonts w:ascii="Times New Roman" w:hAnsi="Times New Roman" w:cs="Times New Roman"/>
          <w:sz w:val="24"/>
          <w:szCs w:val="24"/>
        </w:rPr>
        <w:t xml:space="preserve">target </w:t>
      </w:r>
      <w:r w:rsidRPr="008B1AE0">
        <w:rPr>
          <w:rFonts w:ascii="Times New Roman" w:hAnsi="Times New Roman" w:cs="Times New Roman"/>
          <w:sz w:val="24"/>
          <w:szCs w:val="24"/>
        </w:rPr>
        <w:t xml:space="preserve">savings </w:t>
      </w:r>
      <w:r w:rsidR="006B66D1">
        <w:rPr>
          <w:rFonts w:ascii="Times New Roman" w:hAnsi="Times New Roman" w:cs="Times New Roman"/>
          <w:sz w:val="24"/>
          <w:szCs w:val="24"/>
        </w:rPr>
        <w:t>are</w:t>
      </w:r>
      <w:r w:rsidR="006B66D1" w:rsidRPr="008B1AE0">
        <w:rPr>
          <w:rFonts w:ascii="Times New Roman" w:hAnsi="Times New Roman" w:cs="Times New Roman"/>
          <w:sz w:val="24"/>
          <w:szCs w:val="24"/>
        </w:rPr>
        <w:t xml:space="preserve"> </w:t>
      </w:r>
      <w:r w:rsidR="009E58F9" w:rsidRPr="008B1AE0">
        <w:rPr>
          <w:rFonts w:ascii="Times New Roman" w:hAnsi="Times New Roman" w:cs="Times New Roman"/>
          <w:sz w:val="24"/>
          <w:szCs w:val="24"/>
        </w:rPr>
        <w:t>not achieved. Together, w</w:t>
      </w:r>
      <w:r w:rsidRPr="008B1AE0">
        <w:rPr>
          <w:rFonts w:ascii="Times New Roman" w:hAnsi="Times New Roman" w:cs="Times New Roman"/>
          <w:sz w:val="24"/>
          <w:szCs w:val="24"/>
        </w:rPr>
        <w:t>e designed two strategic efforts</w:t>
      </w:r>
      <w:r w:rsidR="00370247">
        <w:rPr>
          <w:rFonts w:ascii="Times New Roman" w:hAnsi="Times New Roman" w:cs="Times New Roman"/>
          <w:sz w:val="24"/>
          <w:szCs w:val="24"/>
        </w:rPr>
        <w:t xml:space="preserve"> to reduce savings variability</w:t>
      </w:r>
      <w:r w:rsidRPr="008B1AE0">
        <w:rPr>
          <w:rFonts w:ascii="Times New Roman" w:hAnsi="Times New Roman" w:cs="Times New Roman"/>
          <w:sz w:val="24"/>
          <w:szCs w:val="24"/>
        </w:rPr>
        <w:t>, one targeting gross savings</w:t>
      </w:r>
      <w:r w:rsidR="00ED5FC3" w:rsidRPr="008B1AE0">
        <w:rPr>
          <w:rFonts w:ascii="Times New Roman" w:hAnsi="Times New Roman" w:cs="Times New Roman"/>
          <w:sz w:val="24"/>
          <w:szCs w:val="24"/>
        </w:rPr>
        <w:t>’ realization rates</w:t>
      </w:r>
      <w:r w:rsidRPr="008B1AE0">
        <w:rPr>
          <w:rFonts w:ascii="Times New Roman" w:hAnsi="Times New Roman" w:cs="Times New Roman"/>
          <w:sz w:val="24"/>
          <w:szCs w:val="24"/>
        </w:rPr>
        <w:t xml:space="preserve"> and one net</w:t>
      </w:r>
      <w:r w:rsidR="00ED5FC3" w:rsidRPr="008B1AE0">
        <w:rPr>
          <w:rFonts w:ascii="Times New Roman" w:hAnsi="Times New Roman" w:cs="Times New Roman"/>
          <w:sz w:val="24"/>
          <w:szCs w:val="24"/>
        </w:rPr>
        <w:t xml:space="preserve"> savings</w:t>
      </w:r>
      <w:r w:rsidRPr="008B1AE0">
        <w:rPr>
          <w:rFonts w:ascii="Times New Roman" w:hAnsi="Times New Roman" w:cs="Times New Roman"/>
          <w:sz w:val="24"/>
          <w:szCs w:val="24"/>
        </w:rPr>
        <w:t>.</w:t>
      </w:r>
      <w:r w:rsidR="000668B3" w:rsidRPr="008B1AE0">
        <w:rPr>
          <w:rFonts w:ascii="Times New Roman" w:hAnsi="Times New Roman" w:cs="Times New Roman"/>
          <w:sz w:val="24"/>
          <w:szCs w:val="24"/>
        </w:rPr>
        <w:t xml:space="preserve"> </w:t>
      </w:r>
      <w:r w:rsidR="003748D2" w:rsidRPr="008B1AE0">
        <w:rPr>
          <w:rFonts w:ascii="Times New Roman" w:hAnsi="Times New Roman" w:cs="Times New Roman"/>
          <w:sz w:val="24"/>
          <w:szCs w:val="24"/>
        </w:rPr>
        <w:t>These initiatives together</w:t>
      </w:r>
      <w:r w:rsidR="00574425" w:rsidRPr="008B1AE0">
        <w:rPr>
          <w:rFonts w:ascii="Times New Roman" w:hAnsi="Times New Roman" w:cs="Times New Roman"/>
          <w:sz w:val="24"/>
          <w:szCs w:val="24"/>
        </w:rPr>
        <w:t xml:space="preserve"> </w:t>
      </w:r>
      <w:r w:rsidR="003748D2" w:rsidRPr="008B1AE0">
        <w:rPr>
          <w:rFonts w:ascii="Times New Roman" w:hAnsi="Times New Roman" w:cs="Times New Roman"/>
          <w:sz w:val="24"/>
          <w:szCs w:val="24"/>
        </w:rPr>
        <w:t>yielded</w:t>
      </w:r>
      <w:r w:rsidR="00ED5FC3" w:rsidRPr="008B1AE0">
        <w:rPr>
          <w:rFonts w:ascii="Times New Roman" w:hAnsi="Times New Roman" w:cs="Times New Roman"/>
          <w:sz w:val="24"/>
          <w:szCs w:val="24"/>
        </w:rPr>
        <w:t xml:space="preserve"> both</w:t>
      </w:r>
      <w:r w:rsidR="003748D2" w:rsidRPr="008B1AE0">
        <w:rPr>
          <w:rFonts w:ascii="Times New Roman" w:hAnsi="Times New Roman" w:cs="Times New Roman"/>
          <w:sz w:val="24"/>
          <w:szCs w:val="24"/>
        </w:rPr>
        <w:t xml:space="preserve"> less variability in verified savings and </w:t>
      </w:r>
      <w:r w:rsidR="00ED5FC3" w:rsidRPr="008B1AE0">
        <w:rPr>
          <w:rFonts w:ascii="Times New Roman" w:hAnsi="Times New Roman" w:cs="Times New Roman"/>
          <w:sz w:val="24"/>
          <w:szCs w:val="24"/>
        </w:rPr>
        <w:t xml:space="preserve">faster completion of </w:t>
      </w:r>
      <w:r w:rsidR="003748D2" w:rsidRPr="008B1AE0">
        <w:rPr>
          <w:rFonts w:ascii="Times New Roman" w:hAnsi="Times New Roman" w:cs="Times New Roman"/>
          <w:sz w:val="24"/>
          <w:szCs w:val="24"/>
        </w:rPr>
        <w:t xml:space="preserve">final </w:t>
      </w:r>
      <w:r w:rsidR="00ED5FC3" w:rsidRPr="008B1AE0">
        <w:rPr>
          <w:rFonts w:ascii="Times New Roman" w:hAnsi="Times New Roman" w:cs="Times New Roman"/>
          <w:sz w:val="24"/>
          <w:szCs w:val="24"/>
        </w:rPr>
        <w:t>reports to the regulator</w:t>
      </w:r>
      <w:r w:rsidR="003748D2" w:rsidRPr="008B1AE0">
        <w:rPr>
          <w:rFonts w:ascii="Times New Roman" w:hAnsi="Times New Roman" w:cs="Times New Roman"/>
          <w:sz w:val="24"/>
          <w:szCs w:val="24"/>
        </w:rPr>
        <w:t xml:space="preserve">. </w:t>
      </w:r>
    </w:p>
    <w:p w14:paraId="6E4CF546" w14:textId="77777777" w:rsidR="008A14E2" w:rsidRPr="008B1AE0" w:rsidRDefault="008A14E2" w:rsidP="00F21471">
      <w:pPr>
        <w:ind w:firstLine="720"/>
        <w:rPr>
          <w:rFonts w:ascii="Times New Roman" w:hAnsi="Times New Roman" w:cs="Times New Roman"/>
          <w:sz w:val="24"/>
          <w:szCs w:val="24"/>
        </w:rPr>
      </w:pPr>
    </w:p>
    <w:p w14:paraId="0A44D903" w14:textId="77777777" w:rsidR="00C93EB7" w:rsidRPr="00A0280D" w:rsidRDefault="00C93EB7" w:rsidP="00A0280D">
      <w:pPr>
        <w:rPr>
          <w:rFonts w:ascii="Times New Roman" w:hAnsi="Times New Roman"/>
          <w:b/>
          <w:sz w:val="28"/>
        </w:rPr>
      </w:pPr>
      <w:r w:rsidRPr="008B1AE0">
        <w:rPr>
          <w:rFonts w:ascii="Times New Roman" w:hAnsi="Times New Roman" w:cs="Times New Roman"/>
          <w:b/>
          <w:sz w:val="28"/>
          <w:szCs w:val="28"/>
        </w:rPr>
        <w:t>Introduction</w:t>
      </w:r>
    </w:p>
    <w:p w14:paraId="196A7C03" w14:textId="77777777" w:rsidR="008A14E2" w:rsidRPr="008B1AE0" w:rsidRDefault="008A14E2" w:rsidP="00F21471">
      <w:pPr>
        <w:rPr>
          <w:rFonts w:ascii="Times New Roman" w:hAnsi="Times New Roman" w:cs="Times New Roman"/>
          <w:sz w:val="28"/>
          <w:szCs w:val="28"/>
        </w:rPr>
      </w:pPr>
    </w:p>
    <w:p w14:paraId="0E45EDA2" w14:textId="42F30E38" w:rsidR="0099722C" w:rsidRPr="008B1AE0" w:rsidRDefault="00574425" w:rsidP="00A0280D">
      <w:pPr>
        <w:ind w:firstLine="720"/>
        <w:rPr>
          <w:rFonts w:ascii="Times New Roman" w:hAnsi="Times New Roman" w:cs="Times New Roman"/>
          <w:sz w:val="24"/>
          <w:szCs w:val="24"/>
        </w:rPr>
      </w:pPr>
      <w:r w:rsidRPr="008B1AE0">
        <w:rPr>
          <w:rFonts w:ascii="Times New Roman" w:hAnsi="Times New Roman" w:cs="Times New Roman"/>
          <w:sz w:val="24"/>
          <w:szCs w:val="24"/>
        </w:rPr>
        <w:t xml:space="preserve">Many U.S. </w:t>
      </w:r>
      <w:r w:rsidR="004F5652" w:rsidRPr="008B1AE0">
        <w:rPr>
          <w:rFonts w:ascii="Times New Roman" w:hAnsi="Times New Roman" w:cs="Times New Roman"/>
          <w:sz w:val="24"/>
          <w:szCs w:val="24"/>
        </w:rPr>
        <w:t>EE</w:t>
      </w:r>
      <w:r w:rsidRPr="008B1AE0">
        <w:rPr>
          <w:rFonts w:ascii="Times New Roman" w:hAnsi="Times New Roman" w:cs="Times New Roman"/>
          <w:sz w:val="24"/>
          <w:szCs w:val="24"/>
        </w:rPr>
        <w:t xml:space="preserve"> program providers are challenged to continue to grow their total portfolio savings to meet the increasing stringency of state portfolio savings standards. With the growing maturity of many </w:t>
      </w:r>
      <w:r w:rsidR="004F5652" w:rsidRPr="008B1AE0">
        <w:rPr>
          <w:rFonts w:ascii="Times New Roman" w:hAnsi="Times New Roman" w:cs="Times New Roman"/>
          <w:sz w:val="24"/>
          <w:szCs w:val="24"/>
        </w:rPr>
        <w:t>EE</w:t>
      </w:r>
      <w:r w:rsidRPr="008B1AE0">
        <w:rPr>
          <w:rFonts w:ascii="Times New Roman" w:hAnsi="Times New Roman" w:cs="Times New Roman"/>
          <w:sz w:val="24"/>
          <w:szCs w:val="24"/>
        </w:rPr>
        <w:t xml:space="preserve"> program portfolios, custom commercial and industrial projects are delivering a significant and growing share of </w:t>
      </w:r>
      <w:r w:rsidRPr="00844B60">
        <w:rPr>
          <w:rFonts w:ascii="Times New Roman" w:hAnsi="Times New Roman" w:cs="Times New Roman"/>
          <w:sz w:val="24"/>
          <w:szCs w:val="24"/>
        </w:rPr>
        <w:t>total annual portfolio savings as the more common prescriptive measures become more difficult to capture</w:t>
      </w:r>
      <w:r w:rsidR="0057391C">
        <w:rPr>
          <w:rFonts w:ascii="Times New Roman" w:hAnsi="Times New Roman" w:cs="Times New Roman"/>
          <w:sz w:val="24"/>
          <w:szCs w:val="24"/>
        </w:rPr>
        <w:t xml:space="preserve"> with program maturity</w:t>
      </w:r>
      <w:r w:rsidRPr="00844B60">
        <w:rPr>
          <w:rFonts w:ascii="Times New Roman" w:hAnsi="Times New Roman" w:cs="Times New Roman"/>
          <w:sz w:val="24"/>
          <w:szCs w:val="24"/>
        </w:rPr>
        <w:t>.</w:t>
      </w:r>
      <w:r w:rsidRPr="008B1AE0">
        <w:rPr>
          <w:rFonts w:ascii="Times New Roman" w:hAnsi="Times New Roman" w:cs="Times New Roman"/>
          <w:sz w:val="24"/>
          <w:szCs w:val="24"/>
        </w:rPr>
        <w:t xml:space="preserve">  </w:t>
      </w:r>
    </w:p>
    <w:p w14:paraId="2BBA1367" w14:textId="6E731818" w:rsidR="0099722C" w:rsidRPr="008B1AE0" w:rsidRDefault="00574425" w:rsidP="00A0280D">
      <w:pPr>
        <w:ind w:firstLine="720"/>
        <w:rPr>
          <w:rFonts w:ascii="Times New Roman" w:hAnsi="Times New Roman" w:cs="Times New Roman"/>
          <w:sz w:val="24"/>
          <w:szCs w:val="24"/>
        </w:rPr>
      </w:pPr>
      <w:r w:rsidRPr="008B1AE0">
        <w:rPr>
          <w:rFonts w:ascii="Times New Roman" w:hAnsi="Times New Roman" w:cs="Times New Roman"/>
          <w:sz w:val="24"/>
          <w:szCs w:val="24"/>
        </w:rPr>
        <w:t xml:space="preserve">A </w:t>
      </w:r>
      <w:r w:rsidR="009E58F9" w:rsidRPr="008B1AE0">
        <w:rPr>
          <w:rFonts w:ascii="Times New Roman" w:hAnsi="Times New Roman" w:cs="Times New Roman"/>
          <w:sz w:val="24"/>
          <w:szCs w:val="24"/>
        </w:rPr>
        <w:t>key</w:t>
      </w:r>
      <w:r w:rsidRPr="008B1AE0">
        <w:rPr>
          <w:rFonts w:ascii="Times New Roman" w:hAnsi="Times New Roman" w:cs="Times New Roman"/>
          <w:sz w:val="24"/>
          <w:szCs w:val="24"/>
        </w:rPr>
        <w:t xml:space="preserve"> characteristic of these custom projects is that individual project savings are </w:t>
      </w:r>
      <w:r w:rsidR="009E58F9" w:rsidRPr="008B1AE0">
        <w:rPr>
          <w:rFonts w:ascii="Times New Roman" w:hAnsi="Times New Roman" w:cs="Times New Roman"/>
          <w:sz w:val="24"/>
          <w:szCs w:val="24"/>
        </w:rPr>
        <w:t>unique</w:t>
      </w:r>
      <w:r w:rsidRPr="008B1AE0">
        <w:rPr>
          <w:rFonts w:ascii="Times New Roman" w:hAnsi="Times New Roman" w:cs="Times New Roman"/>
          <w:sz w:val="24"/>
          <w:szCs w:val="24"/>
        </w:rPr>
        <w:t xml:space="preserve"> to </w:t>
      </w:r>
      <w:r w:rsidR="009E58F9" w:rsidRPr="008B1AE0">
        <w:rPr>
          <w:rFonts w:ascii="Times New Roman" w:hAnsi="Times New Roman" w:cs="Times New Roman"/>
          <w:sz w:val="24"/>
          <w:szCs w:val="24"/>
        </w:rPr>
        <w:t>each</w:t>
      </w:r>
      <w:r w:rsidRPr="008B1AE0">
        <w:rPr>
          <w:rFonts w:ascii="Times New Roman" w:hAnsi="Times New Roman" w:cs="Times New Roman"/>
          <w:sz w:val="24"/>
          <w:szCs w:val="24"/>
        </w:rPr>
        <w:t xml:space="preserve"> project and not based on </w:t>
      </w:r>
      <w:r w:rsidR="0099722C" w:rsidRPr="008B1AE0">
        <w:rPr>
          <w:rFonts w:ascii="Times New Roman" w:hAnsi="Times New Roman" w:cs="Times New Roman"/>
          <w:sz w:val="24"/>
          <w:szCs w:val="24"/>
        </w:rPr>
        <w:t xml:space="preserve">pre-defined </w:t>
      </w:r>
      <w:r w:rsidRPr="008B1AE0">
        <w:rPr>
          <w:rFonts w:ascii="Times New Roman" w:hAnsi="Times New Roman" w:cs="Times New Roman"/>
          <w:sz w:val="24"/>
          <w:szCs w:val="24"/>
        </w:rPr>
        <w:t>measure-</w:t>
      </w:r>
      <w:r w:rsidR="0099722C" w:rsidRPr="008B1AE0">
        <w:rPr>
          <w:rFonts w:ascii="Times New Roman" w:hAnsi="Times New Roman" w:cs="Times New Roman"/>
          <w:sz w:val="24"/>
          <w:szCs w:val="24"/>
        </w:rPr>
        <w:t>based</w:t>
      </w:r>
      <w:r w:rsidRPr="008B1AE0">
        <w:rPr>
          <w:rFonts w:ascii="Times New Roman" w:hAnsi="Times New Roman" w:cs="Times New Roman"/>
          <w:sz w:val="24"/>
          <w:szCs w:val="24"/>
        </w:rPr>
        <w:t xml:space="preserve"> (deemed) gross savings values</w:t>
      </w:r>
      <w:r w:rsidR="00F160A8">
        <w:rPr>
          <w:rFonts w:ascii="Times New Roman" w:hAnsi="Times New Roman" w:cs="Times New Roman"/>
          <w:sz w:val="24"/>
          <w:szCs w:val="24"/>
        </w:rPr>
        <w:t xml:space="preserve"> that</w:t>
      </w:r>
      <w:r w:rsidR="0099722C" w:rsidRPr="008B1AE0">
        <w:rPr>
          <w:rFonts w:ascii="Times New Roman" w:hAnsi="Times New Roman" w:cs="Times New Roman"/>
          <w:sz w:val="24"/>
          <w:szCs w:val="24"/>
        </w:rPr>
        <w:t xml:space="preserve"> are most common in the portfolios. Since the final project savings values are determined by the evaluator, t</w:t>
      </w:r>
      <w:r w:rsidRPr="008B1AE0">
        <w:rPr>
          <w:rFonts w:ascii="Times New Roman" w:hAnsi="Times New Roman" w:cs="Times New Roman"/>
          <w:sz w:val="24"/>
          <w:szCs w:val="24"/>
        </w:rPr>
        <w:t>he verified project gross savings can deviate significantly – up or down - from the initial program-reported</w:t>
      </w:r>
      <w:r w:rsidRPr="008B1AE0">
        <w:rPr>
          <w:rFonts w:ascii="Times New Roman" w:hAnsi="Times New Roman" w:cs="Times New Roman"/>
          <w:i/>
          <w:sz w:val="24"/>
          <w:szCs w:val="24"/>
        </w:rPr>
        <w:t xml:space="preserve"> </w:t>
      </w:r>
      <w:r w:rsidRPr="008B1AE0">
        <w:rPr>
          <w:rFonts w:ascii="Times New Roman" w:hAnsi="Times New Roman" w:cs="Times New Roman"/>
          <w:sz w:val="24"/>
          <w:szCs w:val="24"/>
        </w:rPr>
        <w:t>values</w:t>
      </w:r>
      <w:r w:rsidR="00ED5FC3" w:rsidRPr="008B1AE0">
        <w:rPr>
          <w:rFonts w:ascii="Times New Roman" w:hAnsi="Times New Roman" w:cs="Times New Roman"/>
          <w:sz w:val="24"/>
          <w:szCs w:val="24"/>
        </w:rPr>
        <w:t>; that is, project realization rates can vary significantly from 1.0.</w:t>
      </w:r>
      <w:r w:rsidRPr="008B1AE0">
        <w:rPr>
          <w:rFonts w:ascii="Times New Roman" w:hAnsi="Times New Roman" w:cs="Times New Roman"/>
          <w:sz w:val="24"/>
          <w:szCs w:val="24"/>
        </w:rPr>
        <w:t xml:space="preserve"> The uncertainty of the net-to-gross ratio (NTGR)</w:t>
      </w:r>
      <w:r w:rsidR="009E58F9" w:rsidRPr="008B1AE0">
        <w:rPr>
          <w:rFonts w:ascii="Times New Roman" w:hAnsi="Times New Roman" w:cs="Times New Roman"/>
          <w:sz w:val="24"/>
          <w:szCs w:val="24"/>
        </w:rPr>
        <w:t>, which for many utilitie</w:t>
      </w:r>
      <w:r w:rsidR="00F160A8">
        <w:rPr>
          <w:rFonts w:ascii="Times New Roman" w:hAnsi="Times New Roman" w:cs="Times New Roman"/>
          <w:sz w:val="24"/>
          <w:szCs w:val="24"/>
        </w:rPr>
        <w:t>s is unknown until program year-</w:t>
      </w:r>
      <w:r w:rsidR="009E58F9" w:rsidRPr="008B1AE0">
        <w:rPr>
          <w:rFonts w:ascii="Times New Roman" w:hAnsi="Times New Roman" w:cs="Times New Roman"/>
          <w:sz w:val="24"/>
          <w:szCs w:val="24"/>
        </w:rPr>
        <w:t>end,</w:t>
      </w:r>
      <w:r w:rsidRPr="008B1AE0">
        <w:rPr>
          <w:rFonts w:ascii="Times New Roman" w:hAnsi="Times New Roman" w:cs="Times New Roman"/>
          <w:sz w:val="24"/>
          <w:szCs w:val="24"/>
        </w:rPr>
        <w:t xml:space="preserve"> only increases the variability of </w:t>
      </w:r>
      <w:r w:rsidR="003C05D6" w:rsidRPr="008B1AE0">
        <w:rPr>
          <w:rFonts w:ascii="Times New Roman" w:hAnsi="Times New Roman" w:cs="Times New Roman"/>
          <w:sz w:val="24"/>
          <w:szCs w:val="24"/>
        </w:rPr>
        <w:t>the program savings</w:t>
      </w:r>
      <w:r w:rsidRPr="008B1AE0">
        <w:rPr>
          <w:rFonts w:ascii="Times New Roman" w:hAnsi="Times New Roman" w:cs="Times New Roman"/>
          <w:sz w:val="24"/>
          <w:szCs w:val="24"/>
        </w:rPr>
        <w:t xml:space="preserve">.  </w:t>
      </w:r>
    </w:p>
    <w:p w14:paraId="1C872F10" w14:textId="50189F68" w:rsidR="00574425" w:rsidRPr="008B1AE0" w:rsidRDefault="00574425" w:rsidP="00A0280D">
      <w:pPr>
        <w:ind w:firstLine="720"/>
        <w:rPr>
          <w:rFonts w:ascii="Times New Roman" w:hAnsi="Times New Roman" w:cs="Times New Roman"/>
          <w:sz w:val="24"/>
          <w:szCs w:val="24"/>
        </w:rPr>
      </w:pPr>
      <w:r w:rsidRPr="008B1AE0">
        <w:rPr>
          <w:rFonts w:ascii="Times New Roman" w:hAnsi="Times New Roman" w:cs="Times New Roman"/>
          <w:sz w:val="24"/>
          <w:szCs w:val="24"/>
        </w:rPr>
        <w:t xml:space="preserve">This final </w:t>
      </w:r>
      <w:r w:rsidR="00ED5FC3" w:rsidRPr="008B1AE0">
        <w:rPr>
          <w:rFonts w:ascii="Times New Roman" w:hAnsi="Times New Roman" w:cs="Times New Roman"/>
          <w:sz w:val="24"/>
          <w:szCs w:val="24"/>
        </w:rPr>
        <w:t xml:space="preserve">program </w:t>
      </w:r>
      <w:r w:rsidRPr="008B1AE0">
        <w:rPr>
          <w:rFonts w:ascii="Times New Roman" w:hAnsi="Times New Roman" w:cs="Times New Roman"/>
          <w:sz w:val="24"/>
          <w:szCs w:val="24"/>
        </w:rPr>
        <w:t>savings estimate uncertainty presents a considerable risk for utilities</w:t>
      </w:r>
      <w:r w:rsidR="0099722C" w:rsidRPr="008B1AE0">
        <w:rPr>
          <w:rFonts w:ascii="Times New Roman" w:hAnsi="Times New Roman" w:cs="Times New Roman"/>
          <w:sz w:val="24"/>
          <w:szCs w:val="24"/>
        </w:rPr>
        <w:t xml:space="preserve">. Many </w:t>
      </w:r>
      <w:r w:rsidR="004F5652" w:rsidRPr="008B1AE0">
        <w:rPr>
          <w:rFonts w:ascii="Times New Roman" w:hAnsi="Times New Roman" w:cs="Times New Roman"/>
          <w:sz w:val="24"/>
          <w:szCs w:val="24"/>
        </w:rPr>
        <w:t>EE</w:t>
      </w:r>
      <w:r w:rsidR="0099722C" w:rsidRPr="008B1AE0">
        <w:rPr>
          <w:rFonts w:ascii="Times New Roman" w:hAnsi="Times New Roman" w:cs="Times New Roman"/>
          <w:sz w:val="24"/>
          <w:szCs w:val="24"/>
        </w:rPr>
        <w:t xml:space="preserve"> program providers</w:t>
      </w:r>
      <w:r w:rsidRPr="008B1AE0">
        <w:rPr>
          <w:rFonts w:ascii="Times New Roman" w:hAnsi="Times New Roman" w:cs="Times New Roman"/>
          <w:sz w:val="24"/>
          <w:szCs w:val="24"/>
        </w:rPr>
        <w:t xml:space="preserve"> have </w:t>
      </w:r>
      <w:r w:rsidR="0099722C" w:rsidRPr="008B1AE0">
        <w:rPr>
          <w:rFonts w:ascii="Times New Roman" w:hAnsi="Times New Roman" w:cs="Times New Roman"/>
          <w:sz w:val="24"/>
          <w:szCs w:val="24"/>
        </w:rPr>
        <w:t xml:space="preserve">penalties or rewards tied to the achievement of their </w:t>
      </w:r>
      <w:r w:rsidRPr="008B1AE0">
        <w:rPr>
          <w:rFonts w:ascii="Times New Roman" w:hAnsi="Times New Roman" w:cs="Times New Roman"/>
          <w:sz w:val="24"/>
          <w:szCs w:val="24"/>
        </w:rPr>
        <w:t xml:space="preserve">state </w:t>
      </w:r>
      <w:r w:rsidR="004F5652" w:rsidRPr="008B1AE0">
        <w:rPr>
          <w:rFonts w:ascii="Times New Roman" w:hAnsi="Times New Roman" w:cs="Times New Roman"/>
          <w:sz w:val="24"/>
          <w:szCs w:val="24"/>
        </w:rPr>
        <w:t>EE</w:t>
      </w:r>
      <w:r w:rsidRPr="008B1AE0">
        <w:rPr>
          <w:rFonts w:ascii="Times New Roman" w:hAnsi="Times New Roman" w:cs="Times New Roman"/>
          <w:sz w:val="24"/>
          <w:szCs w:val="24"/>
        </w:rPr>
        <w:t xml:space="preserve"> savings </w:t>
      </w:r>
      <w:r w:rsidRPr="008B1AE0">
        <w:rPr>
          <w:rFonts w:ascii="Times New Roman" w:hAnsi="Times New Roman" w:cs="Times New Roman"/>
          <w:sz w:val="24"/>
          <w:szCs w:val="24"/>
        </w:rPr>
        <w:lastRenderedPageBreak/>
        <w:t>targets</w:t>
      </w:r>
      <w:r w:rsidR="00CA1288" w:rsidRPr="008B1AE0">
        <w:rPr>
          <w:rFonts w:ascii="Times New Roman" w:hAnsi="Times New Roman" w:cs="Times New Roman"/>
          <w:sz w:val="24"/>
          <w:szCs w:val="24"/>
        </w:rPr>
        <w:t>. T</w:t>
      </w:r>
      <w:r w:rsidR="0099722C" w:rsidRPr="008B1AE0">
        <w:rPr>
          <w:rFonts w:ascii="Times New Roman" w:hAnsi="Times New Roman" w:cs="Times New Roman"/>
          <w:sz w:val="24"/>
          <w:szCs w:val="24"/>
        </w:rPr>
        <w:t>he</w:t>
      </w:r>
      <w:r w:rsidRPr="008B1AE0">
        <w:rPr>
          <w:rFonts w:ascii="Times New Roman" w:hAnsi="Times New Roman" w:cs="Times New Roman"/>
          <w:sz w:val="24"/>
          <w:szCs w:val="24"/>
        </w:rPr>
        <w:t xml:space="preserve"> </w:t>
      </w:r>
      <w:r w:rsidR="0099722C" w:rsidRPr="008B1AE0">
        <w:rPr>
          <w:rFonts w:ascii="Times New Roman" w:hAnsi="Times New Roman" w:cs="Times New Roman"/>
          <w:sz w:val="24"/>
          <w:szCs w:val="24"/>
        </w:rPr>
        <w:t xml:space="preserve">custom program savings </w:t>
      </w:r>
      <w:r w:rsidRPr="008B1AE0">
        <w:rPr>
          <w:rFonts w:ascii="Times New Roman" w:hAnsi="Times New Roman" w:cs="Times New Roman"/>
          <w:sz w:val="24"/>
          <w:szCs w:val="24"/>
        </w:rPr>
        <w:t>variations can</w:t>
      </w:r>
      <w:r w:rsidR="00CA1288" w:rsidRPr="008B1AE0">
        <w:rPr>
          <w:rFonts w:ascii="Times New Roman" w:hAnsi="Times New Roman" w:cs="Times New Roman"/>
          <w:sz w:val="24"/>
          <w:szCs w:val="24"/>
        </w:rPr>
        <w:t xml:space="preserve"> often</w:t>
      </w:r>
      <w:r w:rsidRPr="008B1AE0">
        <w:rPr>
          <w:rFonts w:ascii="Times New Roman" w:hAnsi="Times New Roman" w:cs="Times New Roman"/>
          <w:sz w:val="24"/>
          <w:szCs w:val="24"/>
        </w:rPr>
        <w:t xml:space="preserve"> make the difference between attaining and not attaining the </w:t>
      </w:r>
      <w:r w:rsidR="00353B58">
        <w:rPr>
          <w:rFonts w:ascii="Times New Roman" w:hAnsi="Times New Roman" w:cs="Times New Roman"/>
          <w:sz w:val="24"/>
          <w:szCs w:val="24"/>
        </w:rPr>
        <w:t xml:space="preserve">overall </w:t>
      </w:r>
      <w:r w:rsidRPr="008B1AE0">
        <w:rPr>
          <w:rFonts w:ascii="Times New Roman" w:hAnsi="Times New Roman" w:cs="Times New Roman"/>
          <w:sz w:val="24"/>
          <w:szCs w:val="24"/>
        </w:rPr>
        <w:t xml:space="preserve">mandated savings goals and paying or not paying the penalty. </w:t>
      </w:r>
      <w:r w:rsidR="0099722C" w:rsidRPr="008B1AE0">
        <w:rPr>
          <w:rFonts w:ascii="Times New Roman" w:hAnsi="Times New Roman" w:cs="Times New Roman"/>
          <w:sz w:val="24"/>
          <w:szCs w:val="24"/>
        </w:rPr>
        <w:t xml:space="preserve"> This reality also lea</w:t>
      </w:r>
      <w:r w:rsidR="00CA1288" w:rsidRPr="008B1AE0">
        <w:rPr>
          <w:rFonts w:ascii="Times New Roman" w:hAnsi="Times New Roman" w:cs="Times New Roman"/>
          <w:sz w:val="24"/>
          <w:szCs w:val="24"/>
        </w:rPr>
        <w:t>ds to considerable discussions about</w:t>
      </w:r>
      <w:r w:rsidR="0099722C" w:rsidRPr="008B1AE0">
        <w:rPr>
          <w:rFonts w:ascii="Times New Roman" w:hAnsi="Times New Roman" w:cs="Times New Roman"/>
          <w:sz w:val="24"/>
          <w:szCs w:val="24"/>
        </w:rPr>
        <w:t xml:space="preserve"> the evaluator</w:t>
      </w:r>
      <w:r w:rsidR="00CA1288" w:rsidRPr="008B1AE0">
        <w:rPr>
          <w:rFonts w:ascii="Times New Roman" w:hAnsi="Times New Roman" w:cs="Times New Roman"/>
          <w:sz w:val="24"/>
          <w:szCs w:val="24"/>
        </w:rPr>
        <w:t>’</w:t>
      </w:r>
      <w:r w:rsidR="0099722C" w:rsidRPr="008B1AE0">
        <w:rPr>
          <w:rFonts w:ascii="Times New Roman" w:hAnsi="Times New Roman" w:cs="Times New Roman"/>
          <w:sz w:val="24"/>
          <w:szCs w:val="24"/>
        </w:rPr>
        <w:t xml:space="preserve">s project specific findings, </w:t>
      </w:r>
      <w:r w:rsidR="00D31D94">
        <w:rPr>
          <w:rFonts w:ascii="Times New Roman" w:hAnsi="Times New Roman" w:cs="Times New Roman"/>
          <w:sz w:val="24"/>
          <w:szCs w:val="24"/>
        </w:rPr>
        <w:t xml:space="preserve">which may result </w:t>
      </w:r>
      <w:r w:rsidR="0099722C" w:rsidRPr="008B1AE0">
        <w:rPr>
          <w:rFonts w:ascii="Times New Roman" w:hAnsi="Times New Roman" w:cs="Times New Roman"/>
          <w:sz w:val="24"/>
          <w:szCs w:val="24"/>
        </w:rPr>
        <w:t xml:space="preserve">in </w:t>
      </w:r>
      <w:r w:rsidR="00CA1288" w:rsidRPr="008B1AE0">
        <w:rPr>
          <w:rFonts w:ascii="Times New Roman" w:hAnsi="Times New Roman" w:cs="Times New Roman"/>
          <w:sz w:val="24"/>
          <w:szCs w:val="24"/>
        </w:rPr>
        <w:t xml:space="preserve">delayed final reports and higher evaluation costs. </w:t>
      </w:r>
      <w:r w:rsidRPr="008B1AE0">
        <w:rPr>
          <w:rFonts w:ascii="Times New Roman" w:hAnsi="Times New Roman" w:cs="Times New Roman"/>
          <w:sz w:val="24"/>
          <w:szCs w:val="24"/>
        </w:rPr>
        <w:t xml:space="preserve">For utilities without such </w:t>
      </w:r>
      <w:r w:rsidR="00CA1288" w:rsidRPr="008B1AE0">
        <w:rPr>
          <w:rFonts w:ascii="Times New Roman" w:hAnsi="Times New Roman" w:cs="Times New Roman"/>
          <w:sz w:val="24"/>
          <w:szCs w:val="24"/>
        </w:rPr>
        <w:t xml:space="preserve">state-mandated savings </w:t>
      </w:r>
      <w:r w:rsidRPr="008B1AE0">
        <w:rPr>
          <w:rFonts w:ascii="Times New Roman" w:hAnsi="Times New Roman" w:cs="Times New Roman"/>
          <w:sz w:val="24"/>
          <w:szCs w:val="24"/>
        </w:rPr>
        <w:t xml:space="preserve">goals, </w:t>
      </w:r>
      <w:r w:rsidR="00B23A28">
        <w:rPr>
          <w:rFonts w:ascii="Times New Roman" w:hAnsi="Times New Roman" w:cs="Times New Roman"/>
          <w:sz w:val="24"/>
          <w:szCs w:val="24"/>
        </w:rPr>
        <w:t xml:space="preserve">there is a lost opportunity to reallocate funds </w:t>
      </w:r>
      <w:r w:rsidRPr="008B1AE0">
        <w:rPr>
          <w:rFonts w:ascii="Times New Roman" w:hAnsi="Times New Roman" w:cs="Times New Roman"/>
          <w:sz w:val="24"/>
          <w:szCs w:val="24"/>
        </w:rPr>
        <w:t xml:space="preserve">when improper savings estimates </w:t>
      </w:r>
      <w:r w:rsidR="001F6D40">
        <w:rPr>
          <w:rFonts w:ascii="Times New Roman" w:hAnsi="Times New Roman" w:cs="Times New Roman"/>
          <w:sz w:val="24"/>
          <w:szCs w:val="24"/>
        </w:rPr>
        <w:t>result in either</w:t>
      </w:r>
      <w:r w:rsidR="001F6D40" w:rsidRPr="008B1AE0">
        <w:rPr>
          <w:rFonts w:ascii="Times New Roman" w:hAnsi="Times New Roman" w:cs="Times New Roman"/>
          <w:sz w:val="24"/>
          <w:szCs w:val="24"/>
        </w:rPr>
        <w:t xml:space="preserve"> </w:t>
      </w:r>
      <w:r w:rsidRPr="008B1AE0">
        <w:rPr>
          <w:rFonts w:ascii="Times New Roman" w:hAnsi="Times New Roman" w:cs="Times New Roman"/>
          <w:sz w:val="24"/>
          <w:szCs w:val="24"/>
        </w:rPr>
        <w:t>over or under-paying for savings.</w:t>
      </w:r>
    </w:p>
    <w:p w14:paraId="2C25B9A5" w14:textId="69E15F5F" w:rsidR="00807296" w:rsidRDefault="00CA1288" w:rsidP="00F045AD">
      <w:pPr>
        <w:ind w:firstLine="720"/>
        <w:rPr>
          <w:rFonts w:ascii="Times New Roman" w:hAnsi="Times New Roman" w:cs="Times New Roman"/>
          <w:b/>
          <w:sz w:val="24"/>
          <w:szCs w:val="24"/>
        </w:rPr>
      </w:pPr>
      <w:r w:rsidRPr="00844B60">
        <w:rPr>
          <w:rFonts w:ascii="Times New Roman" w:hAnsi="Times New Roman" w:cs="Times New Roman"/>
          <w:sz w:val="24"/>
          <w:szCs w:val="24"/>
        </w:rPr>
        <w:t xml:space="preserve">Nicor Gas, </w:t>
      </w:r>
      <w:r w:rsidR="00B23A28">
        <w:rPr>
          <w:rFonts w:ascii="Times New Roman" w:hAnsi="Times New Roman" w:cs="Times New Roman"/>
          <w:sz w:val="24"/>
          <w:szCs w:val="24"/>
        </w:rPr>
        <w:t>an</w:t>
      </w:r>
      <w:r w:rsidRPr="00844B60">
        <w:rPr>
          <w:rFonts w:ascii="Times New Roman" w:hAnsi="Times New Roman" w:cs="Times New Roman"/>
          <w:sz w:val="24"/>
          <w:szCs w:val="24"/>
        </w:rPr>
        <w:t xml:space="preserve"> AGL Resources</w:t>
      </w:r>
      <w:r w:rsidR="00B23A28">
        <w:rPr>
          <w:rFonts w:ascii="Times New Roman" w:hAnsi="Times New Roman" w:cs="Times New Roman"/>
          <w:sz w:val="24"/>
          <w:szCs w:val="24"/>
        </w:rPr>
        <w:t xml:space="preserve"> company</w:t>
      </w:r>
      <w:r w:rsidRPr="00844B60">
        <w:rPr>
          <w:rFonts w:ascii="Times New Roman" w:hAnsi="Times New Roman" w:cs="Times New Roman"/>
          <w:sz w:val="24"/>
          <w:szCs w:val="24"/>
        </w:rPr>
        <w:t>, operates an energy efficiency portfolio</w:t>
      </w:r>
      <w:r w:rsidR="009E58F9" w:rsidRPr="00844B60">
        <w:rPr>
          <w:rFonts w:ascii="Times New Roman" w:hAnsi="Times New Roman" w:cs="Times New Roman"/>
          <w:sz w:val="24"/>
          <w:szCs w:val="24"/>
        </w:rPr>
        <w:t xml:space="preserve"> in the state of Illinois</w:t>
      </w:r>
      <w:r w:rsidRPr="00844B60">
        <w:rPr>
          <w:rFonts w:ascii="Times New Roman" w:hAnsi="Times New Roman" w:cs="Times New Roman"/>
          <w:sz w:val="24"/>
          <w:szCs w:val="24"/>
        </w:rPr>
        <w:t xml:space="preserve"> that consisted of 14 programs in </w:t>
      </w:r>
      <w:r w:rsidR="004F5652" w:rsidRPr="00844B60">
        <w:rPr>
          <w:rFonts w:ascii="Times New Roman" w:hAnsi="Times New Roman" w:cs="Times New Roman"/>
          <w:sz w:val="24"/>
          <w:szCs w:val="24"/>
        </w:rPr>
        <w:t xml:space="preserve">the three year planning cycle, from </w:t>
      </w:r>
      <w:r w:rsidR="00B23A28" w:rsidRPr="00844B60">
        <w:rPr>
          <w:rFonts w:ascii="Times New Roman" w:hAnsi="Times New Roman" w:cs="Times New Roman"/>
          <w:sz w:val="24"/>
          <w:szCs w:val="24"/>
        </w:rPr>
        <w:t>201</w:t>
      </w:r>
      <w:r w:rsidR="00A15BD9">
        <w:rPr>
          <w:rFonts w:ascii="Times New Roman" w:hAnsi="Times New Roman" w:cs="Times New Roman"/>
          <w:sz w:val="24"/>
          <w:szCs w:val="24"/>
        </w:rPr>
        <w:t>1</w:t>
      </w:r>
      <w:r w:rsidRPr="00844B60">
        <w:rPr>
          <w:rFonts w:ascii="Times New Roman" w:hAnsi="Times New Roman" w:cs="Times New Roman"/>
          <w:sz w:val="24"/>
          <w:szCs w:val="24"/>
        </w:rPr>
        <w:t xml:space="preserve"> to </w:t>
      </w:r>
      <w:r w:rsidR="00B23A28" w:rsidRPr="00844B60">
        <w:rPr>
          <w:rFonts w:ascii="Times New Roman" w:hAnsi="Times New Roman" w:cs="Times New Roman"/>
          <w:sz w:val="24"/>
          <w:szCs w:val="24"/>
        </w:rPr>
        <w:t>201</w:t>
      </w:r>
      <w:r w:rsidR="00A15BD9">
        <w:rPr>
          <w:rFonts w:ascii="Times New Roman" w:hAnsi="Times New Roman" w:cs="Times New Roman"/>
          <w:sz w:val="24"/>
          <w:szCs w:val="24"/>
        </w:rPr>
        <w:t>4</w:t>
      </w:r>
      <w:r w:rsidRPr="00844B60">
        <w:rPr>
          <w:rFonts w:ascii="Times New Roman" w:hAnsi="Times New Roman" w:cs="Times New Roman"/>
          <w:sz w:val="24"/>
          <w:szCs w:val="24"/>
        </w:rPr>
        <w:t>.</w:t>
      </w:r>
      <w:r w:rsidR="009E58F9" w:rsidRPr="00844B60">
        <w:rPr>
          <w:rFonts w:ascii="Times New Roman" w:hAnsi="Times New Roman" w:cs="Times New Roman"/>
          <w:sz w:val="24"/>
          <w:szCs w:val="24"/>
        </w:rPr>
        <w:t xml:space="preserve"> Illinois legislation requires that </w:t>
      </w:r>
      <w:r w:rsidR="00C464F7">
        <w:rPr>
          <w:rFonts w:ascii="Times New Roman" w:hAnsi="Times New Roman" w:cs="Times New Roman"/>
          <w:sz w:val="24"/>
          <w:szCs w:val="24"/>
        </w:rPr>
        <w:t>g</w:t>
      </w:r>
      <w:r w:rsidR="00B23A28">
        <w:rPr>
          <w:rFonts w:ascii="Times New Roman" w:hAnsi="Times New Roman" w:cs="Times New Roman"/>
          <w:sz w:val="24"/>
          <w:szCs w:val="24"/>
        </w:rPr>
        <w:t xml:space="preserve">as </w:t>
      </w:r>
      <w:r w:rsidR="00C464F7">
        <w:rPr>
          <w:rFonts w:ascii="Times New Roman" w:hAnsi="Times New Roman" w:cs="Times New Roman"/>
          <w:sz w:val="24"/>
          <w:szCs w:val="24"/>
        </w:rPr>
        <w:t>u</w:t>
      </w:r>
      <w:r w:rsidR="00B23A28">
        <w:rPr>
          <w:rFonts w:ascii="Times New Roman" w:hAnsi="Times New Roman" w:cs="Times New Roman"/>
          <w:sz w:val="24"/>
          <w:szCs w:val="24"/>
        </w:rPr>
        <w:t>tilities</w:t>
      </w:r>
      <w:r w:rsidR="00B23A28" w:rsidRPr="00844B60">
        <w:rPr>
          <w:rFonts w:ascii="Times New Roman" w:hAnsi="Times New Roman" w:cs="Times New Roman"/>
          <w:sz w:val="24"/>
          <w:szCs w:val="24"/>
        </w:rPr>
        <w:t xml:space="preserve"> </w:t>
      </w:r>
      <w:r w:rsidR="009E58F9" w:rsidRPr="00844B60">
        <w:rPr>
          <w:rFonts w:ascii="Times New Roman" w:hAnsi="Times New Roman" w:cs="Times New Roman"/>
          <w:sz w:val="24"/>
          <w:szCs w:val="24"/>
        </w:rPr>
        <w:t xml:space="preserve">achieve </w:t>
      </w:r>
      <w:r w:rsidR="00B23A28">
        <w:rPr>
          <w:rFonts w:ascii="Times New Roman" w:hAnsi="Times New Roman" w:cs="Times New Roman"/>
          <w:sz w:val="24"/>
          <w:szCs w:val="24"/>
        </w:rPr>
        <w:t>1.2</w:t>
      </w:r>
      <w:r w:rsidR="009E58F9" w:rsidRPr="008B1AE0">
        <w:rPr>
          <w:rFonts w:ascii="Times New Roman" w:hAnsi="Times New Roman" w:cs="Times New Roman"/>
          <w:sz w:val="24"/>
          <w:szCs w:val="24"/>
        </w:rPr>
        <w:t>%</w:t>
      </w:r>
      <w:r w:rsidR="00A44B75">
        <w:rPr>
          <w:rStyle w:val="FootnoteReference"/>
          <w:rFonts w:ascii="Times New Roman" w:hAnsi="Times New Roman" w:cs="Times New Roman"/>
          <w:sz w:val="24"/>
          <w:szCs w:val="24"/>
        </w:rPr>
        <w:footnoteReference w:id="2"/>
      </w:r>
      <w:r w:rsidR="009E58F9" w:rsidRPr="008B1AE0">
        <w:rPr>
          <w:rFonts w:ascii="Times New Roman" w:hAnsi="Times New Roman" w:cs="Times New Roman"/>
          <w:sz w:val="24"/>
          <w:szCs w:val="24"/>
        </w:rPr>
        <w:t xml:space="preserve"> </w:t>
      </w:r>
      <w:r w:rsidR="00A15BD9">
        <w:rPr>
          <w:rFonts w:ascii="Times New Roman" w:hAnsi="Times New Roman" w:cs="Times New Roman"/>
          <w:sz w:val="24"/>
          <w:szCs w:val="24"/>
        </w:rPr>
        <w:t xml:space="preserve">cumulative </w:t>
      </w:r>
      <w:r w:rsidR="009E58F9" w:rsidRPr="008B1AE0">
        <w:rPr>
          <w:rFonts w:ascii="Times New Roman" w:hAnsi="Times New Roman" w:cs="Times New Roman"/>
          <w:sz w:val="24"/>
          <w:szCs w:val="24"/>
        </w:rPr>
        <w:t xml:space="preserve">savings over </w:t>
      </w:r>
      <w:r w:rsidR="00B23A28" w:rsidRPr="008B1AE0">
        <w:rPr>
          <w:rFonts w:ascii="Times New Roman" w:hAnsi="Times New Roman" w:cs="Times New Roman"/>
          <w:sz w:val="24"/>
          <w:szCs w:val="24"/>
        </w:rPr>
        <w:t>the</w:t>
      </w:r>
      <w:r w:rsidR="00B23A28">
        <w:rPr>
          <w:rFonts w:ascii="Times New Roman" w:hAnsi="Times New Roman" w:cs="Times New Roman"/>
          <w:sz w:val="24"/>
          <w:szCs w:val="24"/>
        </w:rPr>
        <w:t xml:space="preserve"> first </w:t>
      </w:r>
      <w:r w:rsidR="009E58F9" w:rsidRPr="008B1AE0">
        <w:rPr>
          <w:rFonts w:ascii="Times New Roman" w:hAnsi="Times New Roman" w:cs="Times New Roman"/>
          <w:sz w:val="24"/>
          <w:szCs w:val="24"/>
        </w:rPr>
        <w:t>three</w:t>
      </w:r>
      <w:r w:rsidR="00C464F7">
        <w:rPr>
          <w:rFonts w:ascii="Times New Roman" w:hAnsi="Times New Roman" w:cs="Times New Roman"/>
          <w:sz w:val="24"/>
          <w:szCs w:val="24"/>
        </w:rPr>
        <w:t>-</w:t>
      </w:r>
      <w:r w:rsidR="009E58F9" w:rsidRPr="008B1AE0">
        <w:rPr>
          <w:rFonts w:ascii="Times New Roman" w:hAnsi="Times New Roman" w:cs="Times New Roman"/>
          <w:sz w:val="24"/>
          <w:szCs w:val="24"/>
        </w:rPr>
        <w:t xml:space="preserve">year program cycle. </w:t>
      </w:r>
      <w:r w:rsidR="00390F92" w:rsidRPr="008B1AE0">
        <w:rPr>
          <w:rFonts w:ascii="Times New Roman" w:hAnsi="Times New Roman" w:cs="Times New Roman"/>
          <w:sz w:val="24"/>
          <w:szCs w:val="24"/>
        </w:rPr>
        <w:t>Resource Solutions Group</w:t>
      </w:r>
      <w:r w:rsidR="00390F92" w:rsidRPr="008B1AE0">
        <w:rPr>
          <w:rStyle w:val="FootnoteReference"/>
          <w:rFonts w:ascii="Times New Roman" w:hAnsi="Times New Roman" w:cs="Times New Roman"/>
          <w:sz w:val="24"/>
          <w:szCs w:val="24"/>
        </w:rPr>
        <w:footnoteReference w:id="3"/>
      </w:r>
      <w:r w:rsidR="00390F92" w:rsidRPr="008B1AE0">
        <w:rPr>
          <w:rFonts w:ascii="Times New Roman" w:hAnsi="Times New Roman" w:cs="Times New Roman"/>
          <w:sz w:val="24"/>
          <w:szCs w:val="24"/>
        </w:rPr>
        <w:t xml:space="preserve"> (RSG)</w:t>
      </w:r>
      <w:r w:rsidR="009E58F9" w:rsidRPr="008B1AE0">
        <w:rPr>
          <w:rFonts w:ascii="Times New Roman" w:hAnsi="Times New Roman" w:cs="Times New Roman"/>
          <w:sz w:val="24"/>
          <w:szCs w:val="24"/>
        </w:rPr>
        <w:t xml:space="preserve"> implemented the </w:t>
      </w:r>
      <w:r w:rsidR="00A40B60">
        <w:rPr>
          <w:rFonts w:ascii="Times New Roman" w:hAnsi="Times New Roman" w:cs="Times New Roman"/>
          <w:sz w:val="24"/>
          <w:szCs w:val="24"/>
        </w:rPr>
        <w:t>Business C</w:t>
      </w:r>
      <w:r w:rsidR="009E58F9" w:rsidRPr="008B1AE0">
        <w:rPr>
          <w:rFonts w:ascii="Times New Roman" w:hAnsi="Times New Roman" w:cs="Times New Roman"/>
          <w:sz w:val="24"/>
          <w:szCs w:val="24"/>
        </w:rPr>
        <w:t xml:space="preserve">ustom </w:t>
      </w:r>
      <w:r w:rsidR="00A40B60">
        <w:rPr>
          <w:rFonts w:ascii="Times New Roman" w:hAnsi="Times New Roman" w:cs="Times New Roman"/>
          <w:sz w:val="24"/>
          <w:szCs w:val="24"/>
        </w:rPr>
        <w:t xml:space="preserve">Incentive </w:t>
      </w:r>
      <w:r w:rsidR="009E58F9" w:rsidRPr="008B1AE0">
        <w:rPr>
          <w:rFonts w:ascii="Times New Roman" w:hAnsi="Times New Roman" w:cs="Times New Roman"/>
          <w:sz w:val="24"/>
          <w:szCs w:val="24"/>
        </w:rPr>
        <w:t>program</w:t>
      </w:r>
      <w:r w:rsidR="0057391C">
        <w:rPr>
          <w:rFonts w:ascii="Times New Roman" w:hAnsi="Times New Roman" w:cs="Times New Roman"/>
          <w:sz w:val="24"/>
          <w:szCs w:val="24"/>
        </w:rPr>
        <w:t xml:space="preserve"> (Custom Program</w:t>
      </w:r>
      <w:r w:rsidR="0083462B">
        <w:rPr>
          <w:rFonts w:ascii="Times New Roman" w:hAnsi="Times New Roman" w:cs="Times New Roman"/>
          <w:sz w:val="24"/>
          <w:szCs w:val="24"/>
        </w:rPr>
        <w:t>)</w:t>
      </w:r>
      <w:r w:rsidR="0083462B" w:rsidRPr="008B1AE0">
        <w:rPr>
          <w:rFonts w:ascii="Times New Roman" w:hAnsi="Times New Roman" w:cs="Times New Roman"/>
          <w:sz w:val="24"/>
          <w:szCs w:val="24"/>
        </w:rPr>
        <w:t xml:space="preserve"> and</w:t>
      </w:r>
      <w:r w:rsidR="009E58F9" w:rsidRPr="008B1AE0">
        <w:rPr>
          <w:rFonts w:ascii="Times New Roman" w:hAnsi="Times New Roman" w:cs="Times New Roman"/>
          <w:sz w:val="24"/>
          <w:szCs w:val="24"/>
        </w:rPr>
        <w:t xml:space="preserve"> had specific savi</w:t>
      </w:r>
      <w:r w:rsidR="004F5652" w:rsidRPr="008B1AE0">
        <w:rPr>
          <w:rFonts w:ascii="Times New Roman" w:hAnsi="Times New Roman" w:cs="Times New Roman"/>
          <w:sz w:val="24"/>
          <w:szCs w:val="24"/>
        </w:rPr>
        <w:t>ngs targets to enable Nicor Gas’ program</w:t>
      </w:r>
      <w:r w:rsidR="009E58F9" w:rsidRPr="008B1AE0">
        <w:rPr>
          <w:rFonts w:ascii="Times New Roman" w:hAnsi="Times New Roman" w:cs="Times New Roman"/>
          <w:sz w:val="24"/>
          <w:szCs w:val="24"/>
        </w:rPr>
        <w:t xml:space="preserve"> portfolio</w:t>
      </w:r>
      <w:r w:rsidR="004F5652" w:rsidRPr="008B1AE0">
        <w:rPr>
          <w:rFonts w:ascii="Times New Roman" w:hAnsi="Times New Roman" w:cs="Times New Roman"/>
          <w:sz w:val="24"/>
          <w:szCs w:val="24"/>
        </w:rPr>
        <w:t xml:space="preserve"> as a whole</w:t>
      </w:r>
      <w:r w:rsidR="009E58F9" w:rsidRPr="008B1AE0">
        <w:rPr>
          <w:rFonts w:ascii="Times New Roman" w:hAnsi="Times New Roman" w:cs="Times New Roman"/>
          <w:sz w:val="24"/>
          <w:szCs w:val="24"/>
        </w:rPr>
        <w:t xml:space="preserve"> to meet its savings goals. Navigant Consulting is Nicor Gas’ program evaluator and was responsible for v</w:t>
      </w:r>
      <w:r w:rsidR="00891F16">
        <w:rPr>
          <w:rFonts w:ascii="Times New Roman" w:hAnsi="Times New Roman" w:cs="Times New Roman"/>
          <w:sz w:val="24"/>
          <w:szCs w:val="24"/>
        </w:rPr>
        <w:t>erifying the savings of the Custom P</w:t>
      </w:r>
      <w:r w:rsidR="009E58F9" w:rsidRPr="008B1AE0">
        <w:rPr>
          <w:rFonts w:ascii="Times New Roman" w:hAnsi="Times New Roman" w:cs="Times New Roman"/>
          <w:sz w:val="24"/>
          <w:szCs w:val="24"/>
        </w:rPr>
        <w:t>rogram</w:t>
      </w:r>
      <w:r w:rsidR="004F5652" w:rsidRPr="008B1AE0">
        <w:rPr>
          <w:rFonts w:ascii="Times New Roman" w:hAnsi="Times New Roman" w:cs="Times New Roman"/>
          <w:sz w:val="24"/>
          <w:szCs w:val="24"/>
        </w:rPr>
        <w:t xml:space="preserve"> (and all other EE programs)</w:t>
      </w:r>
      <w:r w:rsidR="009E58F9" w:rsidRPr="008B1AE0">
        <w:rPr>
          <w:rFonts w:ascii="Times New Roman" w:hAnsi="Times New Roman" w:cs="Times New Roman"/>
          <w:sz w:val="24"/>
          <w:szCs w:val="24"/>
        </w:rPr>
        <w:t xml:space="preserve"> on both a </w:t>
      </w:r>
      <w:r w:rsidR="00E10110" w:rsidRPr="008B1AE0">
        <w:rPr>
          <w:rFonts w:ascii="Times New Roman" w:hAnsi="Times New Roman" w:cs="Times New Roman"/>
          <w:sz w:val="24"/>
          <w:szCs w:val="24"/>
        </w:rPr>
        <w:t>gross and</w:t>
      </w:r>
      <w:r w:rsidR="009E58F9" w:rsidRPr="008B1AE0">
        <w:rPr>
          <w:rFonts w:ascii="Times New Roman" w:hAnsi="Times New Roman" w:cs="Times New Roman"/>
          <w:sz w:val="24"/>
          <w:szCs w:val="24"/>
        </w:rPr>
        <w:t xml:space="preserve"> net basis.</w:t>
      </w:r>
      <w:r w:rsidR="00FC4FA6" w:rsidRPr="00FC4FA6">
        <w:rPr>
          <w:rFonts w:ascii="Times New Roman" w:hAnsi="Times New Roman" w:cs="Times New Roman"/>
          <w:sz w:val="24"/>
          <w:szCs w:val="24"/>
        </w:rPr>
        <w:t xml:space="preserve"> </w:t>
      </w:r>
      <w:r w:rsidR="00FC4FA6" w:rsidRPr="00F045AD">
        <w:rPr>
          <w:rFonts w:ascii="Times New Roman" w:hAnsi="Times New Roman" w:cs="Times New Roman"/>
          <w:sz w:val="24"/>
          <w:szCs w:val="24"/>
        </w:rPr>
        <w:fldChar w:fldCharType="begin"/>
      </w:r>
      <w:r w:rsidR="00FC4FA6" w:rsidRPr="00F045AD">
        <w:rPr>
          <w:rFonts w:ascii="Times New Roman" w:hAnsi="Times New Roman" w:cs="Times New Roman"/>
          <w:sz w:val="24"/>
          <w:szCs w:val="24"/>
        </w:rPr>
        <w:instrText xml:space="preserve"> REF _Ref388261237 \h  \* MERGEFORMAT </w:instrText>
      </w:r>
      <w:r w:rsidR="00FC4FA6" w:rsidRPr="00F045AD">
        <w:rPr>
          <w:rFonts w:ascii="Times New Roman" w:hAnsi="Times New Roman" w:cs="Times New Roman"/>
          <w:sz w:val="24"/>
          <w:szCs w:val="24"/>
        </w:rPr>
      </w:r>
      <w:r w:rsidR="00FC4FA6" w:rsidRPr="00F045AD">
        <w:rPr>
          <w:rFonts w:ascii="Times New Roman" w:hAnsi="Times New Roman" w:cs="Times New Roman"/>
          <w:sz w:val="24"/>
          <w:szCs w:val="24"/>
        </w:rPr>
        <w:fldChar w:fldCharType="separate"/>
      </w:r>
      <w:r w:rsidR="00FC4FA6" w:rsidRPr="00844B60">
        <w:rPr>
          <w:rFonts w:ascii="Times New Roman" w:hAnsi="Times New Roman" w:cs="Times New Roman"/>
          <w:sz w:val="24"/>
          <w:szCs w:val="24"/>
        </w:rPr>
        <w:t xml:space="preserve">Figure </w:t>
      </w:r>
      <w:r w:rsidR="00FC4FA6">
        <w:rPr>
          <w:rFonts w:ascii="Times New Roman" w:hAnsi="Times New Roman" w:cs="Times New Roman"/>
          <w:noProof/>
          <w:sz w:val="24"/>
          <w:szCs w:val="24"/>
        </w:rPr>
        <w:t>1</w:t>
      </w:r>
      <w:r w:rsidR="00FC4FA6" w:rsidRPr="00F045AD">
        <w:rPr>
          <w:rFonts w:ascii="Times New Roman" w:hAnsi="Times New Roman" w:cs="Times New Roman"/>
          <w:sz w:val="24"/>
          <w:szCs w:val="24"/>
        </w:rPr>
        <w:fldChar w:fldCharType="end"/>
      </w:r>
      <w:r w:rsidR="00FC4FA6">
        <w:rPr>
          <w:rFonts w:ascii="Times New Roman" w:hAnsi="Times New Roman" w:cs="Times New Roman"/>
          <w:sz w:val="24"/>
          <w:szCs w:val="24"/>
        </w:rPr>
        <w:t xml:space="preserve"> presents t</w:t>
      </w:r>
      <w:r w:rsidR="00A7692D" w:rsidRPr="00F045AD">
        <w:rPr>
          <w:rFonts w:ascii="Times New Roman" w:hAnsi="Times New Roman" w:cs="Times New Roman"/>
          <w:sz w:val="24"/>
          <w:szCs w:val="24"/>
        </w:rPr>
        <w:t>he typical evaluation</w:t>
      </w:r>
      <w:r w:rsidR="00E10110" w:rsidRPr="00F045AD">
        <w:rPr>
          <w:rFonts w:ascii="Times New Roman" w:hAnsi="Times New Roman" w:cs="Times New Roman"/>
          <w:sz w:val="24"/>
          <w:szCs w:val="24"/>
        </w:rPr>
        <w:t xml:space="preserve"> </w:t>
      </w:r>
      <w:r w:rsidR="00807296" w:rsidRPr="00F045AD">
        <w:rPr>
          <w:rFonts w:ascii="Times New Roman" w:hAnsi="Times New Roman" w:cs="Times New Roman"/>
          <w:sz w:val="24"/>
          <w:szCs w:val="24"/>
        </w:rPr>
        <w:t xml:space="preserve">process </w:t>
      </w:r>
      <w:r w:rsidR="00E10110" w:rsidRPr="00F045AD">
        <w:rPr>
          <w:rFonts w:ascii="Times New Roman" w:hAnsi="Times New Roman" w:cs="Times New Roman"/>
          <w:sz w:val="24"/>
          <w:szCs w:val="24"/>
        </w:rPr>
        <w:t xml:space="preserve">of </w:t>
      </w:r>
      <w:r w:rsidR="00E10110" w:rsidRPr="00F045AD">
        <w:rPr>
          <w:rFonts w:ascii="Times New Roman" w:hAnsi="Times New Roman" w:cs="Times New Roman"/>
          <w:b/>
          <w:sz w:val="24"/>
          <w:szCs w:val="24"/>
        </w:rPr>
        <w:t>custom prog</w:t>
      </w:r>
      <w:r w:rsidR="00A7692D" w:rsidRPr="00F045AD">
        <w:rPr>
          <w:rFonts w:ascii="Times New Roman" w:hAnsi="Times New Roman" w:cs="Times New Roman"/>
          <w:b/>
          <w:sz w:val="24"/>
          <w:szCs w:val="24"/>
        </w:rPr>
        <w:t xml:space="preserve">ram </w:t>
      </w:r>
      <w:r w:rsidR="003C05D6" w:rsidRPr="00F045AD">
        <w:rPr>
          <w:rFonts w:ascii="Times New Roman" w:hAnsi="Times New Roman" w:cs="Times New Roman"/>
          <w:b/>
          <w:sz w:val="24"/>
          <w:szCs w:val="24"/>
        </w:rPr>
        <w:t xml:space="preserve">gross reported </w:t>
      </w:r>
      <w:r w:rsidR="00A7692D" w:rsidRPr="00F045AD">
        <w:rPr>
          <w:rFonts w:ascii="Times New Roman" w:hAnsi="Times New Roman" w:cs="Times New Roman"/>
          <w:b/>
          <w:sz w:val="24"/>
          <w:szCs w:val="24"/>
        </w:rPr>
        <w:t>savings</w:t>
      </w:r>
      <w:r w:rsidR="00807296" w:rsidRPr="00F045AD">
        <w:rPr>
          <w:rFonts w:ascii="Times New Roman" w:hAnsi="Times New Roman" w:cs="Times New Roman"/>
          <w:b/>
          <w:sz w:val="24"/>
          <w:szCs w:val="24"/>
        </w:rPr>
        <w:t>.</w:t>
      </w:r>
    </w:p>
    <w:p w14:paraId="5F9A7B54" w14:textId="77777777" w:rsidR="0068116D" w:rsidRPr="00F045AD" w:rsidRDefault="0068116D" w:rsidP="00F045AD">
      <w:pPr>
        <w:ind w:firstLine="720"/>
        <w:rPr>
          <w:rFonts w:ascii="Times New Roman" w:hAnsi="Times New Roman" w:cs="Times New Roman"/>
          <w:sz w:val="24"/>
          <w:szCs w:val="24"/>
        </w:rPr>
      </w:pPr>
    </w:p>
    <w:p w14:paraId="736A0CCE" w14:textId="77777777" w:rsidR="005173AB" w:rsidRPr="005173AB" w:rsidRDefault="005173AB" w:rsidP="005173AB"/>
    <w:p w14:paraId="118CD61A" w14:textId="5ADB2A09" w:rsidR="00A0280D" w:rsidRDefault="00A0280D" w:rsidP="00A0280D">
      <w:pPr>
        <w:pStyle w:val="Caption"/>
        <w:rPr>
          <w:rFonts w:ascii="Times New Roman" w:hAnsi="Times New Roman" w:cs="Times New Roman"/>
          <w:color w:val="auto"/>
          <w:sz w:val="24"/>
          <w:szCs w:val="24"/>
        </w:rPr>
      </w:pPr>
      <w:bookmarkStart w:id="0" w:name="_Ref387677843"/>
      <w:bookmarkStart w:id="1" w:name="_GoBack"/>
      <w:bookmarkEnd w:id="1"/>
      <w:r>
        <w:rPr>
          <w:rFonts w:ascii="Times New Roman" w:hAnsi="Times New Roman" w:cs="Times New Roman"/>
          <w:noProof/>
          <w:color w:val="auto"/>
          <w:sz w:val="24"/>
          <w:szCs w:val="24"/>
        </w:rPr>
        <w:drawing>
          <wp:inline distT="0" distB="0" distL="0" distR="0" wp14:anchorId="79E99DD8" wp14:editId="37E25072">
            <wp:extent cx="6380328" cy="2310333"/>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9321" cy="2309968"/>
                    </a:xfrm>
                    <a:prstGeom prst="rect">
                      <a:avLst/>
                    </a:prstGeom>
                    <a:noFill/>
                  </pic:spPr>
                </pic:pic>
              </a:graphicData>
            </a:graphic>
          </wp:inline>
        </w:drawing>
      </w:r>
    </w:p>
    <w:p w14:paraId="3E4FCCAD" w14:textId="77777777" w:rsidR="00807296" w:rsidRPr="00A0280D" w:rsidRDefault="00807296" w:rsidP="00A0280D">
      <w:pPr>
        <w:pStyle w:val="Caption"/>
        <w:rPr>
          <w:rFonts w:ascii="Times New Roman" w:hAnsi="Times New Roman"/>
          <w:b w:val="0"/>
          <w:color w:val="auto"/>
          <w:sz w:val="24"/>
        </w:rPr>
      </w:pPr>
      <w:bookmarkStart w:id="2" w:name="_Ref388261237"/>
      <w:r w:rsidRPr="00844B60">
        <w:rPr>
          <w:rFonts w:ascii="Times New Roman" w:hAnsi="Times New Roman" w:cs="Times New Roman"/>
          <w:color w:val="auto"/>
          <w:sz w:val="24"/>
          <w:szCs w:val="24"/>
        </w:rPr>
        <w:t xml:space="preserve">Figure </w:t>
      </w:r>
      <w:r w:rsidRPr="00844B60">
        <w:rPr>
          <w:rFonts w:ascii="Times New Roman" w:hAnsi="Times New Roman" w:cs="Times New Roman"/>
          <w:color w:val="auto"/>
          <w:sz w:val="24"/>
          <w:szCs w:val="24"/>
        </w:rPr>
        <w:fldChar w:fldCharType="begin"/>
      </w:r>
      <w:r w:rsidRPr="00844B60">
        <w:rPr>
          <w:rFonts w:ascii="Times New Roman" w:hAnsi="Times New Roman" w:cs="Times New Roman"/>
          <w:color w:val="auto"/>
          <w:sz w:val="24"/>
          <w:szCs w:val="24"/>
        </w:rPr>
        <w:instrText xml:space="preserve"> SEQ Figure \* ARABIC </w:instrText>
      </w:r>
      <w:r w:rsidRPr="00844B60">
        <w:rPr>
          <w:rFonts w:ascii="Times New Roman" w:hAnsi="Times New Roman" w:cs="Times New Roman"/>
          <w:color w:val="auto"/>
          <w:sz w:val="24"/>
          <w:szCs w:val="24"/>
        </w:rPr>
        <w:fldChar w:fldCharType="separate"/>
      </w:r>
      <w:r w:rsidR="00D83370">
        <w:rPr>
          <w:rFonts w:ascii="Times New Roman" w:hAnsi="Times New Roman" w:cs="Times New Roman"/>
          <w:noProof/>
          <w:color w:val="auto"/>
          <w:sz w:val="24"/>
          <w:szCs w:val="24"/>
        </w:rPr>
        <w:t>1</w:t>
      </w:r>
      <w:r w:rsidRPr="00844B60">
        <w:rPr>
          <w:rFonts w:ascii="Times New Roman" w:hAnsi="Times New Roman" w:cs="Times New Roman"/>
          <w:color w:val="auto"/>
          <w:sz w:val="24"/>
          <w:szCs w:val="24"/>
        </w:rPr>
        <w:fldChar w:fldCharType="end"/>
      </w:r>
      <w:bookmarkEnd w:id="0"/>
      <w:bookmarkEnd w:id="2"/>
      <w:r w:rsidRPr="00844B60">
        <w:rPr>
          <w:rFonts w:ascii="Times New Roman" w:hAnsi="Times New Roman" w:cs="Times New Roman"/>
          <w:color w:val="auto"/>
          <w:sz w:val="24"/>
          <w:szCs w:val="24"/>
        </w:rPr>
        <w:t>.</w:t>
      </w:r>
      <w:r w:rsidR="00193D46" w:rsidRPr="00193D46">
        <w:rPr>
          <w:rFonts w:ascii="Times New Roman" w:hAnsi="Times New Roman" w:cs="Times New Roman"/>
          <w:color w:val="auto"/>
          <w:sz w:val="24"/>
          <w:szCs w:val="24"/>
        </w:rPr>
        <w:t xml:space="preserve"> </w:t>
      </w:r>
      <w:r w:rsidR="00193D46">
        <w:rPr>
          <w:rFonts w:ascii="Times New Roman" w:hAnsi="Times New Roman" w:cs="Times New Roman"/>
          <w:b w:val="0"/>
          <w:color w:val="auto"/>
          <w:sz w:val="24"/>
          <w:szCs w:val="24"/>
        </w:rPr>
        <w:t xml:space="preserve">Typical </w:t>
      </w:r>
      <w:r w:rsidR="00844B60">
        <w:rPr>
          <w:rFonts w:ascii="Times New Roman" w:hAnsi="Times New Roman" w:cs="Times New Roman"/>
          <w:b w:val="0"/>
          <w:color w:val="auto"/>
          <w:sz w:val="24"/>
          <w:szCs w:val="24"/>
        </w:rPr>
        <w:t xml:space="preserve">Custom Program </w:t>
      </w:r>
      <w:r w:rsidRPr="00844B60">
        <w:rPr>
          <w:rFonts w:ascii="Times New Roman" w:hAnsi="Times New Roman" w:cs="Times New Roman"/>
          <w:b w:val="0"/>
          <w:color w:val="auto"/>
          <w:sz w:val="24"/>
          <w:szCs w:val="24"/>
        </w:rPr>
        <w:t>Evaluation Process</w:t>
      </w:r>
    </w:p>
    <w:p w14:paraId="29350C29" w14:textId="77777777" w:rsidR="008A14E2" w:rsidRPr="00F21471" w:rsidRDefault="008A14E2" w:rsidP="00F21471"/>
    <w:p w14:paraId="166BEB9B" w14:textId="7307840E" w:rsidR="00E10110" w:rsidRPr="008B1AE0" w:rsidRDefault="005B5963" w:rsidP="00A0280D">
      <w:pPr>
        <w:ind w:firstLine="720"/>
        <w:rPr>
          <w:rFonts w:ascii="Times New Roman" w:hAnsi="Times New Roman" w:cs="Times New Roman"/>
          <w:sz w:val="24"/>
          <w:szCs w:val="24"/>
        </w:rPr>
      </w:pPr>
      <w:r>
        <w:rPr>
          <w:rFonts w:ascii="Times New Roman" w:hAnsi="Times New Roman" w:cs="Times New Roman"/>
          <w:sz w:val="24"/>
          <w:szCs w:val="24"/>
        </w:rPr>
        <w:t xml:space="preserve">Following </w:t>
      </w:r>
      <w:r w:rsidR="009A3C7F">
        <w:rPr>
          <w:rFonts w:ascii="Times New Roman" w:hAnsi="Times New Roman" w:cs="Times New Roman"/>
          <w:sz w:val="24"/>
          <w:szCs w:val="24"/>
        </w:rPr>
        <w:t>i</w:t>
      </w:r>
      <w:r w:rsidR="0019662E" w:rsidRPr="0019662E">
        <w:rPr>
          <w:rFonts w:ascii="Times New Roman" w:hAnsi="Times New Roman" w:cs="Times New Roman"/>
          <w:sz w:val="24"/>
          <w:szCs w:val="24"/>
        </w:rPr>
        <w:t>nternational performance measurement and verification protocol</w:t>
      </w:r>
      <w:r w:rsidR="00997ECA">
        <w:rPr>
          <w:rFonts w:ascii="Times New Roman" w:hAnsi="Times New Roman" w:cs="Times New Roman"/>
          <w:sz w:val="24"/>
          <w:szCs w:val="24"/>
        </w:rPr>
        <w:t xml:space="preserve"> (</w:t>
      </w:r>
      <w:r>
        <w:rPr>
          <w:rFonts w:ascii="Times New Roman" w:hAnsi="Times New Roman" w:cs="Times New Roman"/>
          <w:sz w:val="24"/>
          <w:szCs w:val="24"/>
        </w:rPr>
        <w:t>IPMVP</w:t>
      </w:r>
      <w:r w:rsidR="00997ECA">
        <w:rPr>
          <w:rFonts w:ascii="Times New Roman" w:hAnsi="Times New Roman" w:cs="Times New Roman"/>
          <w:sz w:val="24"/>
          <w:szCs w:val="24"/>
        </w:rPr>
        <w:t>®)</w:t>
      </w:r>
      <w:r w:rsidR="009A3C7F">
        <w:rPr>
          <w:rFonts w:ascii="Times New Roman" w:hAnsi="Times New Roman" w:cs="Times New Roman"/>
          <w:sz w:val="24"/>
          <w:szCs w:val="24"/>
        </w:rPr>
        <w:t>,</w:t>
      </w:r>
      <w:r>
        <w:rPr>
          <w:rFonts w:ascii="Times New Roman" w:hAnsi="Times New Roman" w:cs="Times New Roman"/>
          <w:sz w:val="24"/>
          <w:szCs w:val="24"/>
        </w:rPr>
        <w:t xml:space="preserve"> t</w:t>
      </w:r>
      <w:r w:rsidR="00807296">
        <w:rPr>
          <w:rFonts w:ascii="Times New Roman" w:hAnsi="Times New Roman" w:cs="Times New Roman"/>
          <w:sz w:val="24"/>
          <w:szCs w:val="24"/>
        </w:rPr>
        <w:t>he process</w:t>
      </w:r>
      <w:r w:rsidR="00E10110" w:rsidRPr="008B1AE0">
        <w:rPr>
          <w:rFonts w:ascii="Times New Roman" w:hAnsi="Times New Roman" w:cs="Times New Roman"/>
          <w:sz w:val="24"/>
          <w:szCs w:val="24"/>
        </w:rPr>
        <w:t xml:space="preserve"> involves selecting</w:t>
      </w:r>
      <w:r w:rsidR="00A7692D" w:rsidRPr="008B1AE0">
        <w:rPr>
          <w:rFonts w:ascii="Times New Roman" w:hAnsi="Times New Roman" w:cs="Times New Roman"/>
          <w:sz w:val="24"/>
          <w:szCs w:val="24"/>
        </w:rPr>
        <w:t xml:space="preserve">, after the end of the program year, </w:t>
      </w:r>
      <w:r w:rsidR="00E10110" w:rsidRPr="008B1AE0">
        <w:rPr>
          <w:rFonts w:ascii="Times New Roman" w:hAnsi="Times New Roman" w:cs="Times New Roman"/>
          <w:sz w:val="24"/>
          <w:szCs w:val="24"/>
        </w:rPr>
        <w:t xml:space="preserve">a sample of completed projects to </w:t>
      </w:r>
      <w:r w:rsidR="00A7692D" w:rsidRPr="008B1AE0">
        <w:rPr>
          <w:rFonts w:ascii="Times New Roman" w:hAnsi="Times New Roman" w:cs="Times New Roman"/>
          <w:sz w:val="24"/>
          <w:szCs w:val="24"/>
        </w:rPr>
        <w:t xml:space="preserve">review the project files and to </w:t>
      </w:r>
      <w:r w:rsidR="00E10110" w:rsidRPr="008B1AE0">
        <w:rPr>
          <w:rFonts w:ascii="Times New Roman" w:hAnsi="Times New Roman" w:cs="Times New Roman"/>
          <w:sz w:val="24"/>
          <w:szCs w:val="24"/>
        </w:rPr>
        <w:t xml:space="preserve">verify </w:t>
      </w:r>
      <w:r w:rsidR="008337D9" w:rsidRPr="008B1AE0">
        <w:rPr>
          <w:rFonts w:ascii="Times New Roman" w:hAnsi="Times New Roman" w:cs="Times New Roman"/>
          <w:sz w:val="24"/>
          <w:szCs w:val="24"/>
        </w:rPr>
        <w:t xml:space="preserve">the measures </w:t>
      </w:r>
      <w:r w:rsidR="00E10110" w:rsidRPr="008B1AE0">
        <w:rPr>
          <w:rFonts w:ascii="Times New Roman" w:hAnsi="Times New Roman" w:cs="Times New Roman"/>
          <w:sz w:val="24"/>
          <w:szCs w:val="24"/>
        </w:rPr>
        <w:t xml:space="preserve">at the customer site. The </w:t>
      </w:r>
      <w:r w:rsidR="003C05D6" w:rsidRPr="008B1AE0">
        <w:rPr>
          <w:rFonts w:ascii="Times New Roman" w:hAnsi="Times New Roman" w:cs="Times New Roman"/>
          <w:sz w:val="24"/>
          <w:szCs w:val="24"/>
        </w:rPr>
        <w:t xml:space="preserve">gross </w:t>
      </w:r>
      <w:r w:rsidR="00A7692D" w:rsidRPr="008B1AE0">
        <w:rPr>
          <w:rFonts w:ascii="Times New Roman" w:hAnsi="Times New Roman" w:cs="Times New Roman"/>
          <w:sz w:val="24"/>
          <w:szCs w:val="24"/>
        </w:rPr>
        <w:t xml:space="preserve">savings </w:t>
      </w:r>
      <w:r w:rsidR="00E10110" w:rsidRPr="008B1AE0">
        <w:rPr>
          <w:rFonts w:ascii="Times New Roman" w:hAnsi="Times New Roman" w:cs="Times New Roman"/>
          <w:sz w:val="24"/>
          <w:szCs w:val="24"/>
        </w:rPr>
        <w:t xml:space="preserve">verification </w:t>
      </w:r>
      <w:r w:rsidR="003C05D6" w:rsidRPr="008B1AE0">
        <w:rPr>
          <w:rFonts w:ascii="Times New Roman" w:hAnsi="Times New Roman" w:cs="Times New Roman"/>
          <w:sz w:val="24"/>
          <w:szCs w:val="24"/>
        </w:rPr>
        <w:t>for this sample</w:t>
      </w:r>
      <w:r w:rsidR="00E10110" w:rsidRPr="008B1AE0">
        <w:rPr>
          <w:rFonts w:ascii="Times New Roman" w:hAnsi="Times New Roman" w:cs="Times New Roman"/>
          <w:sz w:val="24"/>
          <w:szCs w:val="24"/>
        </w:rPr>
        <w:t xml:space="preserve"> involves several activities</w:t>
      </w:r>
      <w:r w:rsidR="00A7692D" w:rsidRPr="008B1AE0">
        <w:rPr>
          <w:rFonts w:ascii="Times New Roman" w:hAnsi="Times New Roman" w:cs="Times New Roman"/>
          <w:sz w:val="24"/>
          <w:szCs w:val="24"/>
        </w:rPr>
        <w:t>:</w:t>
      </w:r>
    </w:p>
    <w:p w14:paraId="453A5C38" w14:textId="03886562" w:rsidR="008337D9" w:rsidRPr="00353B58" w:rsidRDefault="00E10110" w:rsidP="00A0280D">
      <w:pPr>
        <w:pStyle w:val="ListParagraph"/>
        <w:numPr>
          <w:ilvl w:val="0"/>
          <w:numId w:val="5"/>
        </w:numPr>
        <w:rPr>
          <w:rFonts w:ascii="Times New Roman" w:hAnsi="Times New Roman" w:cs="Times New Roman"/>
          <w:sz w:val="24"/>
          <w:szCs w:val="24"/>
        </w:rPr>
      </w:pPr>
      <w:r w:rsidRPr="008B1AE0">
        <w:rPr>
          <w:rFonts w:ascii="Times New Roman" w:hAnsi="Times New Roman" w:cs="Times New Roman"/>
          <w:sz w:val="24"/>
          <w:szCs w:val="24"/>
        </w:rPr>
        <w:t xml:space="preserve">A review of the project file </w:t>
      </w:r>
      <w:r w:rsidR="002028E7">
        <w:rPr>
          <w:rFonts w:ascii="Times New Roman" w:hAnsi="Times New Roman" w:cs="Times New Roman"/>
          <w:sz w:val="24"/>
          <w:szCs w:val="24"/>
        </w:rPr>
        <w:t xml:space="preserve">provided </w:t>
      </w:r>
      <w:r w:rsidRPr="008B1AE0">
        <w:rPr>
          <w:rFonts w:ascii="Times New Roman" w:hAnsi="Times New Roman" w:cs="Times New Roman"/>
          <w:sz w:val="24"/>
          <w:szCs w:val="24"/>
        </w:rPr>
        <w:t xml:space="preserve">by the </w:t>
      </w:r>
      <w:r w:rsidR="00380224">
        <w:rPr>
          <w:rFonts w:ascii="Times New Roman" w:hAnsi="Times New Roman" w:cs="Times New Roman"/>
          <w:sz w:val="24"/>
          <w:szCs w:val="24"/>
        </w:rPr>
        <w:t>implementation contractor (</w:t>
      </w:r>
      <w:r w:rsidRPr="008B1AE0">
        <w:rPr>
          <w:rFonts w:ascii="Times New Roman" w:hAnsi="Times New Roman" w:cs="Times New Roman"/>
          <w:sz w:val="24"/>
          <w:szCs w:val="24"/>
        </w:rPr>
        <w:t>IC</w:t>
      </w:r>
      <w:r w:rsidR="00380224">
        <w:rPr>
          <w:rFonts w:ascii="Times New Roman" w:hAnsi="Times New Roman" w:cs="Times New Roman"/>
          <w:sz w:val="24"/>
          <w:szCs w:val="24"/>
        </w:rPr>
        <w:t>)</w:t>
      </w:r>
      <w:r w:rsidRPr="008B1AE0">
        <w:rPr>
          <w:rFonts w:ascii="Times New Roman" w:hAnsi="Times New Roman" w:cs="Times New Roman"/>
          <w:sz w:val="24"/>
          <w:szCs w:val="24"/>
        </w:rPr>
        <w:t xml:space="preserve"> </w:t>
      </w:r>
      <w:r w:rsidR="008337D9" w:rsidRPr="008B1AE0">
        <w:rPr>
          <w:rFonts w:ascii="Times New Roman" w:hAnsi="Times New Roman" w:cs="Times New Roman"/>
          <w:sz w:val="24"/>
          <w:szCs w:val="24"/>
        </w:rPr>
        <w:t xml:space="preserve">to understand what the IC determined the pre-project (baseline) conditions were,  </w:t>
      </w:r>
      <w:r w:rsidR="00193D46" w:rsidRPr="00265317">
        <w:rPr>
          <w:rFonts w:ascii="Times New Roman" w:hAnsi="Times New Roman" w:cs="Times New Roman"/>
          <w:sz w:val="24"/>
          <w:szCs w:val="24"/>
        </w:rPr>
        <w:t xml:space="preserve">the savings methodology and assumptions for both the baseline </w:t>
      </w:r>
      <w:r w:rsidR="00844B60" w:rsidRPr="00265317">
        <w:rPr>
          <w:rFonts w:ascii="Times New Roman" w:hAnsi="Times New Roman" w:cs="Times New Roman"/>
          <w:sz w:val="24"/>
          <w:szCs w:val="24"/>
        </w:rPr>
        <w:t xml:space="preserve">and </w:t>
      </w:r>
      <w:r w:rsidR="00193D46" w:rsidRPr="00265317">
        <w:rPr>
          <w:rFonts w:ascii="Times New Roman" w:hAnsi="Times New Roman" w:cs="Times New Roman"/>
          <w:sz w:val="24"/>
          <w:szCs w:val="24"/>
        </w:rPr>
        <w:t>energy efficient equipment, and key project contact information (e.g.</w:t>
      </w:r>
      <w:r w:rsidR="00265317">
        <w:rPr>
          <w:rFonts w:ascii="Times New Roman" w:hAnsi="Times New Roman" w:cs="Times New Roman"/>
          <w:sz w:val="24"/>
          <w:szCs w:val="24"/>
        </w:rPr>
        <w:t>,</w:t>
      </w:r>
      <w:r w:rsidR="00193D46" w:rsidRPr="00265317">
        <w:rPr>
          <w:rFonts w:ascii="Times New Roman" w:hAnsi="Times New Roman" w:cs="Times New Roman"/>
          <w:sz w:val="24"/>
          <w:szCs w:val="24"/>
        </w:rPr>
        <w:t xml:space="preserve"> customer and </w:t>
      </w:r>
      <w:r w:rsidR="007F531A">
        <w:rPr>
          <w:rFonts w:ascii="Times New Roman" w:hAnsi="Times New Roman" w:cs="Times New Roman"/>
          <w:sz w:val="24"/>
          <w:szCs w:val="24"/>
        </w:rPr>
        <w:t>contractor</w:t>
      </w:r>
      <w:r w:rsidR="00193D46" w:rsidRPr="00265317">
        <w:rPr>
          <w:rFonts w:ascii="Times New Roman" w:hAnsi="Times New Roman" w:cs="Times New Roman"/>
          <w:sz w:val="24"/>
          <w:szCs w:val="24"/>
        </w:rPr>
        <w:t>).</w:t>
      </w:r>
    </w:p>
    <w:p w14:paraId="6AF0B20C" w14:textId="77777777" w:rsidR="008337D9" w:rsidRPr="008B1AE0" w:rsidRDefault="00C7230A" w:rsidP="00A0280D">
      <w:pPr>
        <w:pStyle w:val="ListParagraph"/>
        <w:numPr>
          <w:ilvl w:val="0"/>
          <w:numId w:val="5"/>
        </w:numPr>
        <w:rPr>
          <w:rFonts w:ascii="Times New Roman" w:hAnsi="Times New Roman" w:cs="Times New Roman"/>
          <w:sz w:val="24"/>
          <w:szCs w:val="24"/>
        </w:rPr>
      </w:pPr>
      <w:r w:rsidRPr="008B1AE0">
        <w:rPr>
          <w:rFonts w:ascii="Times New Roman" w:hAnsi="Times New Roman" w:cs="Times New Roman"/>
          <w:sz w:val="24"/>
          <w:szCs w:val="24"/>
        </w:rPr>
        <w:t xml:space="preserve">For a subset, </w:t>
      </w:r>
      <w:r w:rsidR="00844B60">
        <w:rPr>
          <w:rFonts w:ascii="Times New Roman" w:hAnsi="Times New Roman" w:cs="Times New Roman"/>
          <w:sz w:val="24"/>
          <w:szCs w:val="24"/>
        </w:rPr>
        <w:t xml:space="preserve">a visit of the customer site and </w:t>
      </w:r>
      <w:r w:rsidRPr="008B1AE0">
        <w:rPr>
          <w:rFonts w:ascii="Times New Roman" w:hAnsi="Times New Roman" w:cs="Times New Roman"/>
          <w:sz w:val="24"/>
          <w:szCs w:val="24"/>
        </w:rPr>
        <w:t>a</w:t>
      </w:r>
      <w:r w:rsidR="00E10110" w:rsidRPr="008B1AE0">
        <w:rPr>
          <w:rFonts w:ascii="Times New Roman" w:hAnsi="Times New Roman" w:cs="Times New Roman"/>
          <w:sz w:val="24"/>
          <w:szCs w:val="24"/>
        </w:rPr>
        <w:t xml:space="preserve"> visual verification that the </w:t>
      </w:r>
      <w:r w:rsidR="008337D9" w:rsidRPr="008B1AE0">
        <w:rPr>
          <w:rFonts w:ascii="Times New Roman" w:hAnsi="Times New Roman" w:cs="Times New Roman"/>
          <w:sz w:val="24"/>
          <w:szCs w:val="24"/>
        </w:rPr>
        <w:t xml:space="preserve">specified </w:t>
      </w:r>
      <w:r w:rsidR="00E10110" w:rsidRPr="008B1AE0">
        <w:rPr>
          <w:rFonts w:ascii="Times New Roman" w:hAnsi="Times New Roman" w:cs="Times New Roman"/>
          <w:sz w:val="24"/>
          <w:szCs w:val="24"/>
        </w:rPr>
        <w:t xml:space="preserve">equipment is installed and operating as intended. </w:t>
      </w:r>
    </w:p>
    <w:p w14:paraId="2EEB712B" w14:textId="77777777" w:rsidR="008337D9" w:rsidRPr="008B1AE0" w:rsidRDefault="00C7230A" w:rsidP="00A0280D">
      <w:pPr>
        <w:pStyle w:val="ListParagraph"/>
        <w:numPr>
          <w:ilvl w:val="0"/>
          <w:numId w:val="5"/>
        </w:numPr>
        <w:rPr>
          <w:rFonts w:ascii="Times New Roman" w:hAnsi="Times New Roman" w:cs="Times New Roman"/>
          <w:sz w:val="24"/>
          <w:szCs w:val="24"/>
        </w:rPr>
      </w:pPr>
      <w:r w:rsidRPr="008B1AE0">
        <w:rPr>
          <w:rFonts w:ascii="Times New Roman" w:hAnsi="Times New Roman" w:cs="Times New Roman"/>
          <w:sz w:val="24"/>
          <w:szCs w:val="24"/>
        </w:rPr>
        <w:lastRenderedPageBreak/>
        <w:t>For this subset, t</w:t>
      </w:r>
      <w:r w:rsidR="00E10110" w:rsidRPr="008B1AE0">
        <w:rPr>
          <w:rFonts w:ascii="Times New Roman" w:hAnsi="Times New Roman" w:cs="Times New Roman"/>
          <w:sz w:val="24"/>
          <w:szCs w:val="24"/>
        </w:rPr>
        <w:t xml:space="preserve">he evaluator </w:t>
      </w:r>
      <w:r w:rsidR="008337D9" w:rsidRPr="008B1AE0">
        <w:rPr>
          <w:rFonts w:ascii="Times New Roman" w:hAnsi="Times New Roman" w:cs="Times New Roman"/>
          <w:sz w:val="24"/>
          <w:szCs w:val="24"/>
        </w:rPr>
        <w:t xml:space="preserve">also </w:t>
      </w:r>
      <w:r w:rsidR="00E10110" w:rsidRPr="008B1AE0">
        <w:rPr>
          <w:rFonts w:ascii="Times New Roman" w:hAnsi="Times New Roman" w:cs="Times New Roman"/>
          <w:sz w:val="24"/>
          <w:szCs w:val="24"/>
        </w:rPr>
        <w:t>verifies hours of operation</w:t>
      </w:r>
      <w:r w:rsidR="00E10110" w:rsidRPr="00844B60">
        <w:rPr>
          <w:rFonts w:ascii="Times New Roman" w:hAnsi="Times New Roman" w:cs="Times New Roman"/>
          <w:sz w:val="24"/>
          <w:szCs w:val="24"/>
        </w:rPr>
        <w:t xml:space="preserve">, </w:t>
      </w:r>
      <w:r w:rsidR="00355593" w:rsidRPr="00844B60">
        <w:rPr>
          <w:rFonts w:ascii="Times New Roman" w:hAnsi="Times New Roman" w:cs="Times New Roman"/>
          <w:sz w:val="24"/>
          <w:szCs w:val="24"/>
        </w:rPr>
        <w:t>baseline equipment information</w:t>
      </w:r>
      <w:r w:rsidR="00E10110" w:rsidRPr="00844B60">
        <w:rPr>
          <w:rFonts w:ascii="Times New Roman" w:hAnsi="Times New Roman" w:cs="Times New Roman"/>
          <w:sz w:val="24"/>
          <w:szCs w:val="24"/>
        </w:rPr>
        <w:t xml:space="preserve">, and </w:t>
      </w:r>
      <w:r w:rsidR="00355593" w:rsidRPr="00844B60">
        <w:rPr>
          <w:rFonts w:ascii="Times New Roman" w:hAnsi="Times New Roman" w:cs="Times New Roman"/>
          <w:sz w:val="24"/>
          <w:szCs w:val="24"/>
        </w:rPr>
        <w:t>any changes to the f</w:t>
      </w:r>
      <w:r w:rsidR="00355593" w:rsidRPr="008B1AE0">
        <w:rPr>
          <w:rFonts w:ascii="Times New Roman" w:hAnsi="Times New Roman" w:cs="Times New Roman"/>
          <w:sz w:val="24"/>
          <w:szCs w:val="24"/>
        </w:rPr>
        <w:t xml:space="preserve">acility or equipment process operation (e.g. an increase or decrease in production) </w:t>
      </w:r>
      <w:r w:rsidR="00E10110" w:rsidRPr="008B1AE0">
        <w:rPr>
          <w:rFonts w:ascii="Times New Roman" w:hAnsi="Times New Roman" w:cs="Times New Roman"/>
          <w:sz w:val="24"/>
          <w:szCs w:val="24"/>
        </w:rPr>
        <w:t xml:space="preserve">through customer interviews at this time. </w:t>
      </w:r>
    </w:p>
    <w:p w14:paraId="19614D60" w14:textId="3C321DFA" w:rsidR="00E10110" w:rsidRPr="008B1AE0" w:rsidRDefault="008337D9" w:rsidP="00A0280D">
      <w:pPr>
        <w:pStyle w:val="ListParagraph"/>
        <w:numPr>
          <w:ilvl w:val="0"/>
          <w:numId w:val="5"/>
        </w:numPr>
        <w:rPr>
          <w:rFonts w:ascii="Times New Roman" w:hAnsi="Times New Roman" w:cs="Times New Roman"/>
          <w:sz w:val="24"/>
          <w:szCs w:val="24"/>
        </w:rPr>
      </w:pPr>
      <w:r w:rsidRPr="008B1AE0">
        <w:rPr>
          <w:rFonts w:ascii="Times New Roman" w:hAnsi="Times New Roman" w:cs="Times New Roman"/>
          <w:sz w:val="24"/>
          <w:szCs w:val="24"/>
        </w:rPr>
        <w:t>Recent billing history is compared to pre-project bills normalized for weather to verify and refine project savings.</w:t>
      </w:r>
      <w:r w:rsidR="006A10E8">
        <w:rPr>
          <w:rFonts w:ascii="Times New Roman" w:hAnsi="Times New Roman" w:cs="Times New Roman"/>
          <w:sz w:val="24"/>
          <w:szCs w:val="24"/>
        </w:rPr>
        <w:t xml:space="preserve"> Alternatively, metering results </w:t>
      </w:r>
      <w:r w:rsidR="0083462B">
        <w:rPr>
          <w:rFonts w:ascii="Times New Roman" w:hAnsi="Times New Roman" w:cs="Times New Roman"/>
          <w:sz w:val="24"/>
          <w:szCs w:val="24"/>
        </w:rPr>
        <w:t>may</w:t>
      </w:r>
      <w:r w:rsidR="006A10E8">
        <w:rPr>
          <w:rFonts w:ascii="Times New Roman" w:hAnsi="Times New Roman" w:cs="Times New Roman"/>
          <w:sz w:val="24"/>
          <w:szCs w:val="24"/>
        </w:rPr>
        <w:t xml:space="preserve"> be used to verify savings.</w:t>
      </w:r>
    </w:p>
    <w:p w14:paraId="44E20BAE" w14:textId="6B53354F" w:rsidR="002B2902" w:rsidRDefault="00C7230A" w:rsidP="00A0280D">
      <w:pPr>
        <w:pStyle w:val="ListParagraph"/>
        <w:numPr>
          <w:ilvl w:val="0"/>
          <w:numId w:val="5"/>
        </w:numPr>
        <w:rPr>
          <w:rFonts w:ascii="Times New Roman" w:hAnsi="Times New Roman" w:cs="Times New Roman"/>
          <w:sz w:val="24"/>
          <w:szCs w:val="24"/>
        </w:rPr>
      </w:pPr>
      <w:r w:rsidRPr="008B1AE0">
        <w:rPr>
          <w:rFonts w:ascii="Times New Roman" w:hAnsi="Times New Roman" w:cs="Times New Roman"/>
          <w:sz w:val="24"/>
          <w:szCs w:val="24"/>
        </w:rPr>
        <w:t xml:space="preserve">Once the evaluator reports their savings values for each project, </w:t>
      </w:r>
      <w:r w:rsidR="00184121">
        <w:rPr>
          <w:rFonts w:ascii="Times New Roman" w:hAnsi="Times New Roman" w:cs="Times New Roman"/>
          <w:sz w:val="24"/>
          <w:szCs w:val="24"/>
        </w:rPr>
        <w:t>frequent communication</w:t>
      </w:r>
      <w:r w:rsidR="00184121" w:rsidRPr="00184121">
        <w:rPr>
          <w:rFonts w:ascii="Times New Roman" w:hAnsi="Times New Roman" w:cs="Times New Roman"/>
          <w:sz w:val="24"/>
          <w:szCs w:val="24"/>
        </w:rPr>
        <w:t xml:space="preserve"> </w:t>
      </w:r>
      <w:r w:rsidR="00184121">
        <w:rPr>
          <w:rFonts w:ascii="Times New Roman" w:hAnsi="Times New Roman" w:cs="Times New Roman"/>
          <w:sz w:val="24"/>
          <w:szCs w:val="24"/>
        </w:rPr>
        <w:t>between the evaluator and IC may occur regarding any varying assumptions</w:t>
      </w:r>
      <w:r w:rsidR="00997311">
        <w:rPr>
          <w:rFonts w:ascii="Times New Roman" w:hAnsi="Times New Roman" w:cs="Times New Roman"/>
          <w:sz w:val="24"/>
          <w:szCs w:val="24"/>
        </w:rPr>
        <w:t>. In this scenario, t</w:t>
      </w:r>
      <w:r w:rsidRPr="008B1AE0">
        <w:rPr>
          <w:rFonts w:ascii="Times New Roman" w:hAnsi="Times New Roman" w:cs="Times New Roman"/>
          <w:sz w:val="24"/>
          <w:szCs w:val="24"/>
        </w:rPr>
        <w:t xml:space="preserve">he IC </w:t>
      </w:r>
      <w:r w:rsidR="00CC2420">
        <w:rPr>
          <w:rFonts w:ascii="Times New Roman" w:hAnsi="Times New Roman" w:cs="Times New Roman"/>
          <w:sz w:val="24"/>
          <w:szCs w:val="24"/>
        </w:rPr>
        <w:t>may need to provide</w:t>
      </w:r>
      <w:r w:rsidRPr="008B1AE0">
        <w:rPr>
          <w:rFonts w:ascii="Times New Roman" w:hAnsi="Times New Roman" w:cs="Times New Roman"/>
          <w:sz w:val="24"/>
          <w:szCs w:val="24"/>
        </w:rPr>
        <w:t xml:space="preserve"> additional</w:t>
      </w:r>
      <w:r w:rsidR="00CC2420">
        <w:rPr>
          <w:rFonts w:ascii="Times New Roman" w:hAnsi="Times New Roman" w:cs="Times New Roman"/>
          <w:sz w:val="24"/>
          <w:szCs w:val="24"/>
        </w:rPr>
        <w:t xml:space="preserve"> or updated</w:t>
      </w:r>
      <w:r w:rsidRPr="008B1AE0">
        <w:rPr>
          <w:rFonts w:ascii="Times New Roman" w:hAnsi="Times New Roman" w:cs="Times New Roman"/>
          <w:sz w:val="24"/>
          <w:szCs w:val="24"/>
        </w:rPr>
        <w:t xml:space="preserve"> project-related materials.</w:t>
      </w:r>
      <w:r w:rsidR="000E6580" w:rsidRPr="008B1AE0">
        <w:rPr>
          <w:rFonts w:ascii="Times New Roman" w:hAnsi="Times New Roman" w:cs="Times New Roman"/>
          <w:sz w:val="24"/>
          <w:szCs w:val="24"/>
        </w:rPr>
        <w:t xml:space="preserve"> </w:t>
      </w:r>
      <w:r w:rsidR="00184121" w:rsidRPr="008B1AE0">
        <w:rPr>
          <w:rFonts w:ascii="Times New Roman" w:hAnsi="Times New Roman" w:cs="Times New Roman"/>
          <w:sz w:val="24"/>
          <w:szCs w:val="24"/>
        </w:rPr>
        <w:t>Repeatedly</w:t>
      </w:r>
      <w:r w:rsidR="0055243A">
        <w:rPr>
          <w:rFonts w:ascii="Times New Roman" w:hAnsi="Times New Roman" w:cs="Times New Roman"/>
          <w:sz w:val="24"/>
          <w:szCs w:val="24"/>
        </w:rPr>
        <w:t>,</w:t>
      </w:r>
      <w:r w:rsidR="000E6580" w:rsidRPr="008B1AE0">
        <w:rPr>
          <w:rFonts w:ascii="Times New Roman" w:hAnsi="Times New Roman" w:cs="Times New Roman"/>
          <w:sz w:val="24"/>
          <w:szCs w:val="24"/>
        </w:rPr>
        <w:t xml:space="preserve"> the original estimates change to incorporate the new information, and this exchange of information </w:t>
      </w:r>
      <w:r w:rsidR="0055243A">
        <w:rPr>
          <w:rFonts w:ascii="Times New Roman" w:hAnsi="Times New Roman" w:cs="Times New Roman"/>
          <w:sz w:val="24"/>
          <w:szCs w:val="24"/>
        </w:rPr>
        <w:t>may</w:t>
      </w:r>
      <w:r w:rsidR="0055243A" w:rsidRPr="008B1AE0">
        <w:rPr>
          <w:rFonts w:ascii="Times New Roman" w:hAnsi="Times New Roman" w:cs="Times New Roman"/>
          <w:sz w:val="24"/>
          <w:szCs w:val="24"/>
        </w:rPr>
        <w:t xml:space="preserve"> </w:t>
      </w:r>
      <w:r w:rsidR="000E6580" w:rsidRPr="008B1AE0">
        <w:rPr>
          <w:rFonts w:ascii="Times New Roman" w:hAnsi="Times New Roman" w:cs="Times New Roman"/>
          <w:sz w:val="24"/>
          <w:szCs w:val="24"/>
        </w:rPr>
        <w:t>delay the final program savings report to the regulatory body.</w:t>
      </w:r>
    </w:p>
    <w:p w14:paraId="2EE6E7B5" w14:textId="2F8FC297" w:rsidR="00193D46" w:rsidRDefault="003C05D6" w:rsidP="00F045AD">
      <w:pPr>
        <w:ind w:firstLine="720"/>
        <w:rPr>
          <w:rFonts w:ascii="Times New Roman" w:hAnsi="Times New Roman" w:cs="Times New Roman"/>
          <w:sz w:val="24"/>
          <w:szCs w:val="24"/>
        </w:rPr>
      </w:pPr>
      <w:r w:rsidRPr="008B1AE0">
        <w:rPr>
          <w:rFonts w:ascii="Times New Roman" w:hAnsi="Times New Roman" w:cs="Times New Roman"/>
          <w:sz w:val="24"/>
          <w:szCs w:val="24"/>
        </w:rPr>
        <w:t xml:space="preserve">The </w:t>
      </w:r>
      <w:r w:rsidRPr="008B1AE0">
        <w:rPr>
          <w:rFonts w:ascii="Times New Roman" w:hAnsi="Times New Roman" w:cs="Times New Roman"/>
          <w:b/>
          <w:sz w:val="24"/>
          <w:szCs w:val="24"/>
        </w:rPr>
        <w:t>typical net savings estimation approach</w:t>
      </w:r>
      <w:r w:rsidRPr="008B1AE0">
        <w:rPr>
          <w:rFonts w:ascii="Times New Roman" w:hAnsi="Times New Roman" w:cs="Times New Roman"/>
          <w:sz w:val="24"/>
          <w:szCs w:val="24"/>
        </w:rPr>
        <w:t xml:space="preserve"> follows a different process </w:t>
      </w:r>
      <w:r w:rsidR="00AE7344">
        <w:rPr>
          <w:rFonts w:ascii="Times New Roman" w:hAnsi="Times New Roman" w:cs="Times New Roman"/>
          <w:sz w:val="24"/>
          <w:szCs w:val="24"/>
        </w:rPr>
        <w:t>that</w:t>
      </w:r>
      <w:r w:rsidR="00AE7344" w:rsidRPr="008B1AE0">
        <w:rPr>
          <w:rFonts w:ascii="Times New Roman" w:hAnsi="Times New Roman" w:cs="Times New Roman"/>
          <w:sz w:val="24"/>
          <w:szCs w:val="24"/>
        </w:rPr>
        <w:t xml:space="preserve"> </w:t>
      </w:r>
      <w:r w:rsidRPr="008B1AE0">
        <w:rPr>
          <w:rFonts w:ascii="Times New Roman" w:hAnsi="Times New Roman" w:cs="Times New Roman"/>
          <w:sz w:val="24"/>
          <w:szCs w:val="24"/>
        </w:rPr>
        <w:t xml:space="preserve">also begins at the end of the program year. </w:t>
      </w:r>
      <w:r w:rsidR="00193D46">
        <w:rPr>
          <w:rFonts w:ascii="Times New Roman" w:hAnsi="Times New Roman" w:cs="Times New Roman"/>
          <w:sz w:val="24"/>
          <w:szCs w:val="24"/>
        </w:rPr>
        <w:fldChar w:fldCharType="begin"/>
      </w:r>
      <w:r w:rsidR="00193D46">
        <w:rPr>
          <w:rFonts w:ascii="Times New Roman" w:hAnsi="Times New Roman" w:cs="Times New Roman"/>
          <w:sz w:val="24"/>
          <w:szCs w:val="24"/>
        </w:rPr>
        <w:instrText xml:space="preserve"> REF _Ref387677831 \h </w:instrText>
      </w:r>
      <w:r w:rsidR="00193D46">
        <w:rPr>
          <w:rFonts w:ascii="Times New Roman" w:hAnsi="Times New Roman" w:cs="Times New Roman"/>
          <w:sz w:val="24"/>
          <w:szCs w:val="24"/>
        </w:rPr>
      </w:r>
      <w:r w:rsidR="00193D46">
        <w:rPr>
          <w:rFonts w:ascii="Times New Roman" w:hAnsi="Times New Roman" w:cs="Times New Roman"/>
          <w:sz w:val="24"/>
          <w:szCs w:val="24"/>
        </w:rPr>
        <w:fldChar w:fldCharType="separate"/>
      </w:r>
      <w:r w:rsidR="00D83370" w:rsidRPr="00A0280D">
        <w:rPr>
          <w:rFonts w:ascii="Times New Roman" w:hAnsi="Times New Roman"/>
          <w:sz w:val="24"/>
        </w:rPr>
        <w:t xml:space="preserve">Figure </w:t>
      </w:r>
      <w:r w:rsidR="00D83370">
        <w:rPr>
          <w:rFonts w:ascii="Times New Roman" w:hAnsi="Times New Roman"/>
          <w:noProof/>
          <w:sz w:val="24"/>
        </w:rPr>
        <w:t>2</w:t>
      </w:r>
      <w:r w:rsidR="00193D46">
        <w:rPr>
          <w:rFonts w:ascii="Times New Roman" w:hAnsi="Times New Roman" w:cs="Times New Roman"/>
          <w:sz w:val="24"/>
          <w:szCs w:val="24"/>
        </w:rPr>
        <w:fldChar w:fldCharType="end"/>
      </w:r>
      <w:r w:rsidR="00193D46">
        <w:rPr>
          <w:rFonts w:ascii="Times New Roman" w:hAnsi="Times New Roman" w:cs="Times New Roman"/>
          <w:sz w:val="24"/>
          <w:szCs w:val="24"/>
        </w:rPr>
        <w:t xml:space="preserve"> </w:t>
      </w:r>
      <w:r w:rsidR="00AE7344">
        <w:rPr>
          <w:rFonts w:ascii="Times New Roman" w:hAnsi="Times New Roman" w:cs="Times New Roman"/>
          <w:sz w:val="24"/>
          <w:szCs w:val="24"/>
        </w:rPr>
        <w:t>below presents this process</w:t>
      </w:r>
      <w:r w:rsidR="00193D46">
        <w:rPr>
          <w:rFonts w:ascii="Times New Roman" w:hAnsi="Times New Roman" w:cs="Times New Roman"/>
          <w:sz w:val="24"/>
          <w:szCs w:val="24"/>
        </w:rPr>
        <w:t>.</w:t>
      </w:r>
    </w:p>
    <w:p w14:paraId="6B53C7E5" w14:textId="77777777" w:rsidR="00193D46" w:rsidRDefault="00193D46" w:rsidP="00A0280D">
      <w:pPr>
        <w:rPr>
          <w:rFonts w:ascii="Times New Roman" w:hAnsi="Times New Roman" w:cs="Times New Roman"/>
          <w:sz w:val="24"/>
          <w:szCs w:val="24"/>
        </w:rPr>
      </w:pPr>
    </w:p>
    <w:p w14:paraId="08287E6D" w14:textId="77777777" w:rsidR="00193D46" w:rsidRDefault="00193D46" w:rsidP="00A0280D">
      <w:r w:rsidRPr="00844B60">
        <w:rPr>
          <w:rFonts w:ascii="Times New Roman" w:hAnsi="Times New Roman" w:cs="Times New Roman"/>
          <w:noProof/>
          <w:sz w:val="24"/>
          <w:szCs w:val="24"/>
        </w:rPr>
        <w:drawing>
          <wp:inline distT="0" distB="0" distL="0" distR="0" wp14:anchorId="37C66ED8" wp14:editId="5847D45E">
            <wp:extent cx="6433920" cy="3098042"/>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PPEC 2.png"/>
                    <pic:cNvPicPr/>
                  </pic:nvPicPr>
                  <pic:blipFill>
                    <a:blip r:embed="rId11">
                      <a:extLst>
                        <a:ext uri="{28A0092B-C50C-407E-A947-70E740481C1C}">
                          <a14:useLocalDpi xmlns:a14="http://schemas.microsoft.com/office/drawing/2010/main" val="0"/>
                        </a:ext>
                      </a:extLst>
                    </a:blip>
                    <a:stretch>
                      <a:fillRect/>
                    </a:stretch>
                  </pic:blipFill>
                  <pic:spPr>
                    <a:xfrm>
                      <a:off x="0" y="0"/>
                      <a:ext cx="6440084" cy="3101010"/>
                    </a:xfrm>
                    <a:prstGeom prst="rect">
                      <a:avLst/>
                    </a:prstGeom>
                  </pic:spPr>
                </pic:pic>
              </a:graphicData>
            </a:graphic>
          </wp:inline>
        </w:drawing>
      </w:r>
    </w:p>
    <w:p w14:paraId="732049CC" w14:textId="5491E699" w:rsidR="008A14E2" w:rsidRDefault="00193D46" w:rsidP="00F045AD">
      <w:pPr>
        <w:pStyle w:val="Caption"/>
        <w:rPr>
          <w:rFonts w:ascii="Times New Roman" w:hAnsi="Times New Roman"/>
          <w:b w:val="0"/>
          <w:color w:val="auto"/>
          <w:sz w:val="24"/>
        </w:rPr>
      </w:pPr>
      <w:bookmarkStart w:id="3" w:name="_Ref387677831"/>
      <w:r w:rsidRPr="00A0280D">
        <w:rPr>
          <w:rFonts w:ascii="Times New Roman" w:hAnsi="Times New Roman"/>
          <w:color w:val="auto"/>
          <w:sz w:val="24"/>
        </w:rPr>
        <w:t xml:space="preserve">Figure </w:t>
      </w:r>
      <w:r w:rsidRPr="00A0280D">
        <w:rPr>
          <w:rFonts w:ascii="Times New Roman" w:hAnsi="Times New Roman"/>
          <w:color w:val="auto"/>
          <w:sz w:val="24"/>
        </w:rPr>
        <w:fldChar w:fldCharType="begin"/>
      </w:r>
      <w:r w:rsidRPr="00A0280D">
        <w:rPr>
          <w:rFonts w:ascii="Times New Roman" w:hAnsi="Times New Roman"/>
          <w:color w:val="auto"/>
          <w:sz w:val="24"/>
        </w:rPr>
        <w:instrText xml:space="preserve"> SEQ Figure \* ARABIC </w:instrText>
      </w:r>
      <w:r w:rsidRPr="00A0280D">
        <w:rPr>
          <w:rFonts w:ascii="Times New Roman" w:hAnsi="Times New Roman"/>
          <w:color w:val="auto"/>
          <w:sz w:val="24"/>
        </w:rPr>
        <w:fldChar w:fldCharType="separate"/>
      </w:r>
      <w:r w:rsidR="00D83370">
        <w:rPr>
          <w:rFonts w:ascii="Times New Roman" w:hAnsi="Times New Roman"/>
          <w:noProof/>
          <w:color w:val="auto"/>
          <w:sz w:val="24"/>
        </w:rPr>
        <w:t>2</w:t>
      </w:r>
      <w:r w:rsidRPr="00A0280D">
        <w:rPr>
          <w:rFonts w:ascii="Times New Roman" w:hAnsi="Times New Roman"/>
          <w:color w:val="auto"/>
          <w:sz w:val="24"/>
        </w:rPr>
        <w:fldChar w:fldCharType="end"/>
      </w:r>
      <w:bookmarkEnd w:id="3"/>
      <w:r w:rsidRPr="00A0280D">
        <w:rPr>
          <w:rFonts w:ascii="Times New Roman" w:hAnsi="Times New Roman"/>
          <w:color w:val="auto"/>
          <w:sz w:val="24"/>
        </w:rPr>
        <w:t xml:space="preserve">. </w:t>
      </w:r>
      <w:r w:rsidR="00844B60" w:rsidRPr="00A0280D">
        <w:rPr>
          <w:rFonts w:ascii="Times New Roman" w:hAnsi="Times New Roman"/>
          <w:b w:val="0"/>
          <w:color w:val="auto"/>
          <w:sz w:val="24"/>
        </w:rPr>
        <w:t xml:space="preserve">Typical Custom Program Net Savings Estimation </w:t>
      </w:r>
      <w:r w:rsidRPr="00A0280D">
        <w:rPr>
          <w:rFonts w:ascii="Times New Roman" w:hAnsi="Times New Roman"/>
          <w:b w:val="0"/>
          <w:color w:val="auto"/>
          <w:sz w:val="24"/>
        </w:rPr>
        <w:t xml:space="preserve">Process </w:t>
      </w:r>
    </w:p>
    <w:p w14:paraId="7C48568B" w14:textId="77777777" w:rsidR="00F045AD" w:rsidRPr="00F045AD" w:rsidRDefault="00F045AD" w:rsidP="00F045AD"/>
    <w:p w14:paraId="138654C8" w14:textId="0B8DB9C7" w:rsidR="008337D9" w:rsidRPr="008B1AE0" w:rsidRDefault="003C05D6" w:rsidP="00A0280D">
      <w:pPr>
        <w:ind w:firstLine="720"/>
        <w:rPr>
          <w:rFonts w:ascii="Times New Roman" w:hAnsi="Times New Roman" w:cs="Times New Roman"/>
          <w:sz w:val="24"/>
          <w:szCs w:val="24"/>
        </w:rPr>
      </w:pPr>
      <w:r w:rsidRPr="008B1AE0">
        <w:rPr>
          <w:rFonts w:ascii="Times New Roman" w:hAnsi="Times New Roman" w:cs="Times New Roman"/>
          <w:sz w:val="24"/>
          <w:szCs w:val="24"/>
        </w:rPr>
        <w:t>T</w:t>
      </w:r>
      <w:r w:rsidR="008337D9" w:rsidRPr="008B1AE0">
        <w:rPr>
          <w:rFonts w:ascii="Times New Roman" w:hAnsi="Times New Roman" w:cs="Times New Roman"/>
          <w:sz w:val="24"/>
          <w:szCs w:val="24"/>
        </w:rPr>
        <w:t xml:space="preserve">he evaluator </w:t>
      </w:r>
      <w:r w:rsidRPr="008B1AE0">
        <w:rPr>
          <w:rFonts w:ascii="Times New Roman" w:hAnsi="Times New Roman" w:cs="Times New Roman"/>
          <w:sz w:val="24"/>
          <w:szCs w:val="24"/>
        </w:rPr>
        <w:t xml:space="preserve">typically </w:t>
      </w:r>
      <w:r w:rsidR="008337D9" w:rsidRPr="008B1AE0">
        <w:rPr>
          <w:rFonts w:ascii="Times New Roman" w:hAnsi="Times New Roman" w:cs="Times New Roman"/>
          <w:sz w:val="24"/>
          <w:szCs w:val="24"/>
        </w:rPr>
        <w:t xml:space="preserve">conducts </w:t>
      </w:r>
      <w:r w:rsidR="007F531A">
        <w:rPr>
          <w:rFonts w:ascii="Times New Roman" w:hAnsi="Times New Roman" w:cs="Times New Roman"/>
          <w:sz w:val="24"/>
          <w:szCs w:val="24"/>
        </w:rPr>
        <w:t>tele</w:t>
      </w:r>
      <w:r w:rsidR="008337D9" w:rsidRPr="008B1AE0">
        <w:rPr>
          <w:rFonts w:ascii="Times New Roman" w:hAnsi="Times New Roman" w:cs="Times New Roman"/>
          <w:sz w:val="24"/>
          <w:szCs w:val="24"/>
        </w:rPr>
        <w:t xml:space="preserve">phone interviews with a sample of </w:t>
      </w:r>
      <w:r w:rsidRPr="008B1AE0">
        <w:rPr>
          <w:rFonts w:ascii="Times New Roman" w:hAnsi="Times New Roman" w:cs="Times New Roman"/>
          <w:sz w:val="24"/>
          <w:szCs w:val="24"/>
        </w:rPr>
        <w:t>participants (usually</w:t>
      </w:r>
      <w:r w:rsidR="008337D9" w:rsidRPr="008B1AE0">
        <w:rPr>
          <w:rFonts w:ascii="Times New Roman" w:hAnsi="Times New Roman" w:cs="Times New Roman"/>
          <w:sz w:val="24"/>
          <w:szCs w:val="24"/>
        </w:rPr>
        <w:t xml:space="preserve"> not the same sample</w:t>
      </w:r>
      <w:r w:rsidR="00153064">
        <w:rPr>
          <w:rFonts w:ascii="Times New Roman" w:hAnsi="Times New Roman" w:cs="Times New Roman"/>
          <w:sz w:val="24"/>
          <w:szCs w:val="24"/>
        </w:rPr>
        <w:t xml:space="preserve"> as </w:t>
      </w:r>
      <w:r w:rsidR="00697896">
        <w:rPr>
          <w:rFonts w:ascii="Times New Roman" w:hAnsi="Times New Roman" w:cs="Times New Roman"/>
          <w:sz w:val="24"/>
          <w:szCs w:val="24"/>
        </w:rPr>
        <w:t xml:space="preserve">that </w:t>
      </w:r>
      <w:r w:rsidR="00153064">
        <w:rPr>
          <w:rFonts w:ascii="Times New Roman" w:hAnsi="Times New Roman" w:cs="Times New Roman"/>
          <w:sz w:val="24"/>
          <w:szCs w:val="24"/>
        </w:rPr>
        <w:t>used for gross impact research</w:t>
      </w:r>
      <w:r w:rsidR="008337D9" w:rsidRPr="008B1AE0">
        <w:rPr>
          <w:rFonts w:ascii="Times New Roman" w:hAnsi="Times New Roman" w:cs="Times New Roman"/>
          <w:sz w:val="24"/>
          <w:szCs w:val="24"/>
        </w:rPr>
        <w:t>) to understan</w:t>
      </w:r>
      <w:r w:rsidR="00153064">
        <w:rPr>
          <w:rFonts w:ascii="Times New Roman" w:hAnsi="Times New Roman" w:cs="Times New Roman"/>
          <w:sz w:val="24"/>
          <w:szCs w:val="24"/>
        </w:rPr>
        <w:t xml:space="preserve">d their decision-making process to </w:t>
      </w:r>
      <w:r w:rsidR="008337D9" w:rsidRPr="008B1AE0">
        <w:rPr>
          <w:rFonts w:ascii="Times New Roman" w:hAnsi="Times New Roman" w:cs="Times New Roman"/>
          <w:sz w:val="24"/>
          <w:szCs w:val="24"/>
        </w:rPr>
        <w:t xml:space="preserve">estimate whether they would have done the project without the </w:t>
      </w:r>
      <w:r w:rsidR="00A23C4A">
        <w:rPr>
          <w:rFonts w:ascii="Times New Roman" w:hAnsi="Times New Roman" w:cs="Times New Roman"/>
          <w:sz w:val="24"/>
          <w:szCs w:val="24"/>
        </w:rPr>
        <w:t>incentive</w:t>
      </w:r>
      <w:r w:rsidR="00A23C4A" w:rsidRPr="008B1AE0">
        <w:rPr>
          <w:rFonts w:ascii="Times New Roman" w:hAnsi="Times New Roman" w:cs="Times New Roman"/>
          <w:sz w:val="24"/>
          <w:szCs w:val="24"/>
        </w:rPr>
        <w:t xml:space="preserve"> </w:t>
      </w:r>
      <w:r w:rsidR="008337D9" w:rsidRPr="008B1AE0">
        <w:rPr>
          <w:rFonts w:ascii="Times New Roman" w:hAnsi="Times New Roman" w:cs="Times New Roman"/>
          <w:sz w:val="24"/>
          <w:szCs w:val="24"/>
        </w:rPr>
        <w:t>(free ridership)</w:t>
      </w:r>
      <w:r w:rsidR="00697896">
        <w:rPr>
          <w:rFonts w:ascii="Times New Roman" w:hAnsi="Times New Roman" w:cs="Times New Roman"/>
          <w:sz w:val="24"/>
          <w:szCs w:val="24"/>
        </w:rPr>
        <w:t>.</w:t>
      </w:r>
      <w:r w:rsidRPr="008B1AE0">
        <w:rPr>
          <w:rFonts w:ascii="Times New Roman" w:hAnsi="Times New Roman" w:cs="Times New Roman"/>
          <w:sz w:val="24"/>
          <w:szCs w:val="24"/>
        </w:rPr>
        <w:t xml:space="preserve"> The interviews also aim to </w:t>
      </w:r>
      <w:r w:rsidR="008337D9" w:rsidRPr="008B1AE0">
        <w:rPr>
          <w:rFonts w:ascii="Times New Roman" w:hAnsi="Times New Roman" w:cs="Times New Roman"/>
          <w:sz w:val="24"/>
          <w:szCs w:val="24"/>
        </w:rPr>
        <w:t xml:space="preserve">identify any additional measures that they may have taken without obtaining </w:t>
      </w:r>
      <w:r w:rsidR="00A368DD" w:rsidRPr="008B1AE0">
        <w:rPr>
          <w:rFonts w:ascii="Times New Roman" w:hAnsi="Times New Roman" w:cs="Times New Roman"/>
          <w:sz w:val="24"/>
          <w:szCs w:val="24"/>
        </w:rPr>
        <w:t>an</w:t>
      </w:r>
      <w:r w:rsidR="008337D9" w:rsidRPr="008B1AE0">
        <w:rPr>
          <w:rFonts w:ascii="Times New Roman" w:hAnsi="Times New Roman" w:cs="Times New Roman"/>
          <w:sz w:val="24"/>
          <w:szCs w:val="24"/>
        </w:rPr>
        <w:t xml:space="preserve"> </w:t>
      </w:r>
      <w:r w:rsidR="00A23C4A">
        <w:rPr>
          <w:rFonts w:ascii="Times New Roman" w:hAnsi="Times New Roman" w:cs="Times New Roman"/>
          <w:sz w:val="24"/>
          <w:szCs w:val="24"/>
        </w:rPr>
        <w:t>incentive</w:t>
      </w:r>
      <w:r w:rsidR="00A23C4A" w:rsidRPr="008B1AE0">
        <w:rPr>
          <w:rFonts w:ascii="Times New Roman" w:hAnsi="Times New Roman" w:cs="Times New Roman"/>
          <w:sz w:val="24"/>
          <w:szCs w:val="24"/>
        </w:rPr>
        <w:t xml:space="preserve"> </w:t>
      </w:r>
      <w:r w:rsidR="008337D9" w:rsidRPr="008B1AE0">
        <w:rPr>
          <w:rFonts w:ascii="Times New Roman" w:hAnsi="Times New Roman" w:cs="Times New Roman"/>
          <w:sz w:val="24"/>
          <w:szCs w:val="24"/>
        </w:rPr>
        <w:t>but that would have qualified (participant spillover)</w:t>
      </w:r>
      <w:r w:rsidR="00193D46">
        <w:rPr>
          <w:rFonts w:ascii="Times New Roman" w:hAnsi="Times New Roman" w:cs="Times New Roman"/>
          <w:sz w:val="24"/>
          <w:szCs w:val="24"/>
        </w:rPr>
        <w:t>.</w:t>
      </w:r>
      <w:r w:rsidRPr="008B1AE0">
        <w:rPr>
          <w:rFonts w:ascii="Times New Roman" w:hAnsi="Times New Roman" w:cs="Times New Roman"/>
          <w:sz w:val="24"/>
          <w:szCs w:val="24"/>
        </w:rPr>
        <w:t xml:space="preserve"> Participant interviews are typically supplemented with interviews with the </w:t>
      </w:r>
      <w:r w:rsidR="00997311">
        <w:rPr>
          <w:rFonts w:ascii="Times New Roman" w:hAnsi="Times New Roman" w:cs="Times New Roman"/>
          <w:sz w:val="24"/>
          <w:szCs w:val="24"/>
        </w:rPr>
        <w:t>implementation</w:t>
      </w:r>
      <w:r w:rsidR="0055243A" w:rsidRPr="008B1AE0">
        <w:rPr>
          <w:rFonts w:ascii="Times New Roman" w:hAnsi="Times New Roman" w:cs="Times New Roman"/>
          <w:sz w:val="24"/>
          <w:szCs w:val="24"/>
        </w:rPr>
        <w:t xml:space="preserve"> </w:t>
      </w:r>
      <w:r w:rsidRPr="008B1AE0">
        <w:rPr>
          <w:rFonts w:ascii="Times New Roman" w:hAnsi="Times New Roman" w:cs="Times New Roman"/>
          <w:sz w:val="24"/>
          <w:szCs w:val="24"/>
        </w:rPr>
        <w:t>contractor</w:t>
      </w:r>
      <w:r w:rsidR="0055243A">
        <w:rPr>
          <w:rFonts w:ascii="Times New Roman" w:hAnsi="Times New Roman" w:cs="Times New Roman"/>
          <w:sz w:val="24"/>
          <w:szCs w:val="24"/>
        </w:rPr>
        <w:t xml:space="preserve"> or vendor</w:t>
      </w:r>
      <w:r w:rsidRPr="008B1AE0">
        <w:rPr>
          <w:rFonts w:ascii="Times New Roman" w:hAnsi="Times New Roman" w:cs="Times New Roman"/>
          <w:sz w:val="24"/>
          <w:szCs w:val="24"/>
        </w:rPr>
        <w:t xml:space="preserve"> whe</w:t>
      </w:r>
      <w:r w:rsidR="0055243A">
        <w:rPr>
          <w:rFonts w:ascii="Times New Roman" w:hAnsi="Times New Roman" w:cs="Times New Roman"/>
          <w:sz w:val="24"/>
          <w:szCs w:val="24"/>
        </w:rPr>
        <w:t>n</w:t>
      </w:r>
      <w:r w:rsidRPr="008B1AE0">
        <w:rPr>
          <w:rFonts w:ascii="Times New Roman" w:hAnsi="Times New Roman" w:cs="Times New Roman"/>
          <w:sz w:val="24"/>
          <w:szCs w:val="24"/>
        </w:rPr>
        <w:t xml:space="preserve"> the participant indicat</w:t>
      </w:r>
      <w:r w:rsidR="0055243A">
        <w:rPr>
          <w:rFonts w:ascii="Times New Roman" w:hAnsi="Times New Roman" w:cs="Times New Roman"/>
          <w:sz w:val="24"/>
          <w:szCs w:val="24"/>
        </w:rPr>
        <w:t>es</w:t>
      </w:r>
      <w:r w:rsidRPr="008B1AE0">
        <w:rPr>
          <w:rFonts w:ascii="Times New Roman" w:hAnsi="Times New Roman" w:cs="Times New Roman"/>
          <w:sz w:val="24"/>
          <w:szCs w:val="24"/>
        </w:rPr>
        <w:t xml:space="preserve"> that the contractor was important in their decision-making</w:t>
      </w:r>
      <w:r w:rsidR="007F531A">
        <w:rPr>
          <w:rFonts w:ascii="Times New Roman" w:hAnsi="Times New Roman" w:cs="Times New Roman"/>
          <w:sz w:val="24"/>
          <w:szCs w:val="24"/>
        </w:rPr>
        <w:t xml:space="preserve"> process</w:t>
      </w:r>
      <w:r w:rsidRPr="008B1AE0">
        <w:rPr>
          <w:rFonts w:ascii="Times New Roman" w:hAnsi="Times New Roman" w:cs="Times New Roman"/>
          <w:sz w:val="24"/>
          <w:szCs w:val="24"/>
        </w:rPr>
        <w:t>. Based upon the inte</w:t>
      </w:r>
      <w:r w:rsidR="00F160A8">
        <w:rPr>
          <w:rFonts w:ascii="Times New Roman" w:hAnsi="Times New Roman" w:cs="Times New Roman"/>
          <w:sz w:val="24"/>
          <w:szCs w:val="24"/>
        </w:rPr>
        <w:t>rview responses at program year-</w:t>
      </w:r>
      <w:r w:rsidRPr="008B1AE0">
        <w:rPr>
          <w:rFonts w:ascii="Times New Roman" w:hAnsi="Times New Roman" w:cs="Times New Roman"/>
          <w:sz w:val="24"/>
          <w:szCs w:val="24"/>
        </w:rPr>
        <w:t xml:space="preserve">end, the evaluator develops a final estimate of the </w:t>
      </w:r>
      <w:r w:rsidR="00F003A8" w:rsidRPr="008B1AE0">
        <w:rPr>
          <w:rFonts w:ascii="Times New Roman" w:hAnsi="Times New Roman" w:cs="Times New Roman"/>
          <w:sz w:val="24"/>
          <w:szCs w:val="24"/>
        </w:rPr>
        <w:t xml:space="preserve">percentage of gross verified </w:t>
      </w:r>
      <w:r w:rsidRPr="008B1AE0">
        <w:rPr>
          <w:rFonts w:ascii="Times New Roman" w:hAnsi="Times New Roman" w:cs="Times New Roman"/>
          <w:sz w:val="24"/>
          <w:szCs w:val="24"/>
        </w:rPr>
        <w:t>savings attributable to the program for each project, which is then extrapolated</w:t>
      </w:r>
      <w:r w:rsidR="00380224">
        <w:rPr>
          <w:rFonts w:ascii="Times New Roman" w:hAnsi="Times New Roman" w:cs="Times New Roman"/>
          <w:sz w:val="24"/>
          <w:szCs w:val="24"/>
        </w:rPr>
        <w:t xml:space="preserve"> </w:t>
      </w:r>
      <w:r w:rsidR="00697896">
        <w:rPr>
          <w:rFonts w:ascii="Times New Roman" w:hAnsi="Times New Roman" w:cs="Times New Roman"/>
          <w:sz w:val="24"/>
          <w:szCs w:val="24"/>
        </w:rPr>
        <w:t>across all program activity</w:t>
      </w:r>
      <w:r w:rsidR="00380224">
        <w:rPr>
          <w:rFonts w:ascii="Times New Roman" w:hAnsi="Times New Roman" w:cs="Times New Roman"/>
          <w:sz w:val="24"/>
          <w:szCs w:val="24"/>
        </w:rPr>
        <w:t>.</w:t>
      </w:r>
      <w:r w:rsidRPr="008B1AE0">
        <w:rPr>
          <w:rFonts w:ascii="Times New Roman" w:hAnsi="Times New Roman" w:cs="Times New Roman"/>
          <w:sz w:val="24"/>
          <w:szCs w:val="24"/>
        </w:rPr>
        <w:t xml:space="preserve"> </w:t>
      </w:r>
    </w:p>
    <w:p w14:paraId="236F4A5C" w14:textId="573E3EF6" w:rsidR="008337D9" w:rsidRPr="008B1AE0" w:rsidRDefault="0055243A" w:rsidP="00A0280D">
      <w:pPr>
        <w:ind w:firstLine="720"/>
        <w:rPr>
          <w:rFonts w:ascii="Times New Roman" w:hAnsi="Times New Roman" w:cs="Times New Roman"/>
          <w:sz w:val="24"/>
          <w:szCs w:val="24"/>
        </w:rPr>
      </w:pPr>
      <w:r>
        <w:rPr>
          <w:rFonts w:ascii="Times New Roman" w:hAnsi="Times New Roman" w:cs="Times New Roman"/>
          <w:sz w:val="24"/>
          <w:szCs w:val="24"/>
        </w:rPr>
        <w:t>However, t</w:t>
      </w:r>
      <w:r w:rsidR="008337D9" w:rsidRPr="008B1AE0">
        <w:rPr>
          <w:rFonts w:ascii="Times New Roman" w:hAnsi="Times New Roman" w:cs="Times New Roman"/>
          <w:sz w:val="24"/>
          <w:szCs w:val="24"/>
        </w:rPr>
        <w:t xml:space="preserve">his approach leads to a great deal of uncertainty regarding how </w:t>
      </w:r>
      <w:r w:rsidR="009A1010" w:rsidRPr="008B1AE0">
        <w:rPr>
          <w:rFonts w:ascii="Times New Roman" w:hAnsi="Times New Roman" w:cs="Times New Roman"/>
          <w:sz w:val="24"/>
          <w:szCs w:val="24"/>
        </w:rPr>
        <w:t xml:space="preserve">custom program </w:t>
      </w:r>
      <w:r w:rsidR="008337D9" w:rsidRPr="008B1AE0">
        <w:rPr>
          <w:rFonts w:ascii="Times New Roman" w:hAnsi="Times New Roman" w:cs="Times New Roman"/>
          <w:sz w:val="24"/>
          <w:szCs w:val="24"/>
        </w:rPr>
        <w:t xml:space="preserve">verified </w:t>
      </w:r>
      <w:r w:rsidR="00305624">
        <w:rPr>
          <w:rFonts w:ascii="Times New Roman" w:hAnsi="Times New Roman" w:cs="Times New Roman"/>
          <w:sz w:val="24"/>
          <w:szCs w:val="24"/>
        </w:rPr>
        <w:t xml:space="preserve">net </w:t>
      </w:r>
      <w:r w:rsidR="008337D9" w:rsidRPr="008B1AE0">
        <w:rPr>
          <w:rFonts w:ascii="Times New Roman" w:hAnsi="Times New Roman" w:cs="Times New Roman"/>
          <w:sz w:val="24"/>
          <w:szCs w:val="24"/>
        </w:rPr>
        <w:t xml:space="preserve">savings </w:t>
      </w:r>
      <w:r w:rsidR="00E901DE" w:rsidRPr="008B1AE0">
        <w:rPr>
          <w:rFonts w:ascii="Times New Roman" w:hAnsi="Times New Roman" w:cs="Times New Roman"/>
          <w:sz w:val="24"/>
          <w:szCs w:val="24"/>
        </w:rPr>
        <w:t>would</w:t>
      </w:r>
      <w:r w:rsidR="008337D9" w:rsidRPr="008B1AE0">
        <w:rPr>
          <w:rFonts w:ascii="Times New Roman" w:hAnsi="Times New Roman" w:cs="Times New Roman"/>
          <w:sz w:val="24"/>
          <w:szCs w:val="24"/>
        </w:rPr>
        <w:t xml:space="preserve"> vary from reported </w:t>
      </w:r>
      <w:r w:rsidR="00305624">
        <w:rPr>
          <w:rFonts w:ascii="Times New Roman" w:hAnsi="Times New Roman" w:cs="Times New Roman"/>
          <w:sz w:val="24"/>
          <w:szCs w:val="24"/>
        </w:rPr>
        <w:t xml:space="preserve">gross </w:t>
      </w:r>
      <w:r w:rsidR="008337D9" w:rsidRPr="008B1AE0">
        <w:rPr>
          <w:rFonts w:ascii="Times New Roman" w:hAnsi="Times New Roman" w:cs="Times New Roman"/>
          <w:sz w:val="24"/>
          <w:szCs w:val="24"/>
        </w:rPr>
        <w:t xml:space="preserve">savings. </w:t>
      </w:r>
      <w:r w:rsidR="00E901DE">
        <w:rPr>
          <w:rFonts w:ascii="Times New Roman" w:hAnsi="Times New Roman" w:cs="Times New Roman"/>
          <w:sz w:val="24"/>
          <w:szCs w:val="24"/>
        </w:rPr>
        <w:t xml:space="preserve">For example, </w:t>
      </w:r>
      <w:r w:rsidR="009A3C7F">
        <w:rPr>
          <w:rFonts w:ascii="Times New Roman" w:hAnsi="Times New Roman" w:cs="Times New Roman"/>
          <w:sz w:val="24"/>
          <w:szCs w:val="24"/>
        </w:rPr>
        <w:t>instead of waiting until after the end of the year for net savings values for all projects, the utility would have information at mid-year regarding projects completed in the first quarter and then quarterly thereafter</w:t>
      </w:r>
      <w:r w:rsidR="00181183">
        <w:rPr>
          <w:rFonts w:ascii="Times New Roman" w:hAnsi="Times New Roman" w:cs="Times New Roman"/>
          <w:sz w:val="24"/>
          <w:szCs w:val="24"/>
        </w:rPr>
        <w:t xml:space="preserve">. </w:t>
      </w:r>
      <w:r w:rsidR="00D74C8E">
        <w:rPr>
          <w:rFonts w:ascii="Times New Roman" w:hAnsi="Times New Roman" w:cs="Times New Roman"/>
          <w:sz w:val="24"/>
          <w:szCs w:val="24"/>
        </w:rPr>
        <w:t xml:space="preserve">Additionally, the information gathered earlier in the process is likely to be more accurate as memories of the project decision-drivers will be fresher and the risk the key decision maker has left the company will be </w:t>
      </w:r>
      <w:r w:rsidR="00D74C8E">
        <w:rPr>
          <w:rFonts w:ascii="Times New Roman" w:hAnsi="Times New Roman" w:cs="Times New Roman"/>
          <w:sz w:val="24"/>
          <w:szCs w:val="24"/>
        </w:rPr>
        <w:lastRenderedPageBreak/>
        <w:t>reduced.</w:t>
      </w:r>
      <w:r w:rsidR="00181183">
        <w:rPr>
          <w:rFonts w:ascii="Times New Roman" w:hAnsi="Times New Roman" w:cs="Times New Roman"/>
          <w:sz w:val="24"/>
          <w:szCs w:val="24"/>
        </w:rPr>
        <w:t xml:space="preserve"> The</w:t>
      </w:r>
      <w:r w:rsidR="00D74C8E">
        <w:rPr>
          <w:rFonts w:ascii="Times New Roman" w:hAnsi="Times New Roman" w:cs="Times New Roman"/>
          <w:sz w:val="24"/>
          <w:szCs w:val="24"/>
        </w:rPr>
        <w:t xml:space="preserve"> latter </w:t>
      </w:r>
      <w:r w:rsidR="009A3C7F">
        <w:rPr>
          <w:rFonts w:ascii="Times New Roman" w:hAnsi="Times New Roman" w:cs="Times New Roman"/>
          <w:sz w:val="24"/>
          <w:szCs w:val="24"/>
        </w:rPr>
        <w:t>situation</w:t>
      </w:r>
      <w:r w:rsidR="00181183">
        <w:rPr>
          <w:rFonts w:ascii="Times New Roman" w:hAnsi="Times New Roman" w:cs="Times New Roman"/>
          <w:sz w:val="24"/>
          <w:szCs w:val="24"/>
        </w:rPr>
        <w:t xml:space="preserve"> </w:t>
      </w:r>
      <w:r w:rsidR="00D74C8E">
        <w:rPr>
          <w:rFonts w:ascii="Times New Roman" w:hAnsi="Times New Roman" w:cs="Times New Roman"/>
          <w:sz w:val="24"/>
          <w:szCs w:val="24"/>
        </w:rPr>
        <w:t>also applies</w:t>
      </w:r>
      <w:r w:rsidR="009A3C7F">
        <w:rPr>
          <w:rFonts w:ascii="Times New Roman" w:hAnsi="Times New Roman" w:cs="Times New Roman"/>
          <w:sz w:val="24"/>
          <w:szCs w:val="24"/>
        </w:rPr>
        <w:t xml:space="preserve"> to</w:t>
      </w:r>
      <w:r w:rsidR="00181183">
        <w:rPr>
          <w:rFonts w:ascii="Times New Roman" w:hAnsi="Times New Roman" w:cs="Times New Roman"/>
          <w:sz w:val="24"/>
          <w:szCs w:val="24"/>
        </w:rPr>
        <w:t xml:space="preserve"> the gross savings estimates in that the lead IC engineer for the project may no longer be available to answer questions regarding key methodological decisions or assumptions</w:t>
      </w:r>
      <w:r w:rsidR="00D74C8E">
        <w:rPr>
          <w:rFonts w:ascii="Times New Roman" w:hAnsi="Times New Roman" w:cs="Times New Roman"/>
          <w:sz w:val="24"/>
          <w:szCs w:val="24"/>
        </w:rPr>
        <w:t>, while at the same time the early communication between the evaluator and IC assures that final estimates are more closely aligned than they would have been</w:t>
      </w:r>
      <w:r w:rsidR="00181183">
        <w:rPr>
          <w:rFonts w:ascii="Times New Roman" w:hAnsi="Times New Roman" w:cs="Times New Roman"/>
          <w:sz w:val="24"/>
          <w:szCs w:val="24"/>
        </w:rPr>
        <w:t xml:space="preserve">. </w:t>
      </w:r>
      <w:r w:rsidR="008337D9" w:rsidRPr="008B1AE0">
        <w:rPr>
          <w:rFonts w:ascii="Times New Roman" w:hAnsi="Times New Roman" w:cs="Times New Roman"/>
          <w:sz w:val="24"/>
          <w:szCs w:val="24"/>
        </w:rPr>
        <w:t xml:space="preserve">Given that Nicor Gas needed to be better able to project </w:t>
      </w:r>
      <w:r>
        <w:rPr>
          <w:rFonts w:ascii="Times New Roman" w:hAnsi="Times New Roman" w:cs="Times New Roman"/>
          <w:sz w:val="24"/>
          <w:szCs w:val="24"/>
        </w:rPr>
        <w:t xml:space="preserve">its </w:t>
      </w:r>
      <w:r w:rsidR="008337D9" w:rsidRPr="008B1AE0">
        <w:rPr>
          <w:rFonts w:ascii="Times New Roman" w:hAnsi="Times New Roman" w:cs="Times New Roman"/>
          <w:sz w:val="24"/>
          <w:szCs w:val="24"/>
        </w:rPr>
        <w:t xml:space="preserve">verified </w:t>
      </w:r>
      <w:r w:rsidR="00305624">
        <w:rPr>
          <w:rFonts w:ascii="Times New Roman" w:hAnsi="Times New Roman" w:cs="Times New Roman"/>
          <w:sz w:val="24"/>
          <w:szCs w:val="24"/>
        </w:rPr>
        <w:t xml:space="preserve">net </w:t>
      </w:r>
      <w:r w:rsidR="008337D9" w:rsidRPr="008B1AE0">
        <w:rPr>
          <w:rFonts w:ascii="Times New Roman" w:hAnsi="Times New Roman" w:cs="Times New Roman"/>
          <w:sz w:val="24"/>
          <w:szCs w:val="24"/>
        </w:rPr>
        <w:t xml:space="preserve">savings to </w:t>
      </w:r>
      <w:r w:rsidR="00555092">
        <w:rPr>
          <w:rFonts w:ascii="Times New Roman" w:hAnsi="Times New Roman" w:cs="Times New Roman"/>
          <w:sz w:val="24"/>
          <w:szCs w:val="24"/>
        </w:rPr>
        <w:t>manage</w:t>
      </w:r>
      <w:r w:rsidR="00F160A8">
        <w:rPr>
          <w:rFonts w:ascii="Times New Roman" w:hAnsi="Times New Roman" w:cs="Times New Roman"/>
          <w:sz w:val="24"/>
          <w:szCs w:val="24"/>
        </w:rPr>
        <w:t xml:space="preserve"> effectively</w:t>
      </w:r>
      <w:r w:rsidR="00555092">
        <w:rPr>
          <w:rFonts w:ascii="Times New Roman" w:hAnsi="Times New Roman" w:cs="Times New Roman"/>
          <w:sz w:val="24"/>
          <w:szCs w:val="24"/>
        </w:rPr>
        <w:t xml:space="preserve"> the program activities and help </w:t>
      </w:r>
      <w:r w:rsidR="008337D9" w:rsidRPr="008B1AE0">
        <w:rPr>
          <w:rFonts w:ascii="Times New Roman" w:hAnsi="Times New Roman" w:cs="Times New Roman"/>
          <w:sz w:val="24"/>
          <w:szCs w:val="24"/>
        </w:rPr>
        <w:t xml:space="preserve">avoid </w:t>
      </w:r>
      <w:r w:rsidR="00555092">
        <w:rPr>
          <w:rFonts w:ascii="Times New Roman" w:hAnsi="Times New Roman" w:cs="Times New Roman"/>
          <w:sz w:val="24"/>
          <w:szCs w:val="24"/>
        </w:rPr>
        <w:t>penalties</w:t>
      </w:r>
      <w:r w:rsidR="008337D9" w:rsidRPr="008B1AE0">
        <w:rPr>
          <w:rFonts w:ascii="Times New Roman" w:hAnsi="Times New Roman" w:cs="Times New Roman"/>
          <w:sz w:val="24"/>
          <w:szCs w:val="24"/>
        </w:rPr>
        <w:t xml:space="preserve"> for not achieving the mandated </w:t>
      </w:r>
      <w:r w:rsidR="00555092">
        <w:rPr>
          <w:rFonts w:ascii="Times New Roman" w:hAnsi="Times New Roman" w:cs="Times New Roman"/>
          <w:sz w:val="24"/>
          <w:szCs w:val="24"/>
        </w:rPr>
        <w:t>savings</w:t>
      </w:r>
      <w:r w:rsidR="00555092" w:rsidRPr="008B1AE0">
        <w:rPr>
          <w:rFonts w:ascii="Times New Roman" w:hAnsi="Times New Roman" w:cs="Times New Roman"/>
          <w:sz w:val="24"/>
          <w:szCs w:val="24"/>
        </w:rPr>
        <w:t xml:space="preserve"> </w:t>
      </w:r>
      <w:r w:rsidR="009A1010" w:rsidRPr="008B1AE0">
        <w:rPr>
          <w:rFonts w:ascii="Times New Roman" w:hAnsi="Times New Roman" w:cs="Times New Roman"/>
          <w:sz w:val="24"/>
          <w:szCs w:val="24"/>
        </w:rPr>
        <w:t>over the three</w:t>
      </w:r>
      <w:r w:rsidR="00C464F7">
        <w:rPr>
          <w:rFonts w:ascii="Times New Roman" w:hAnsi="Times New Roman" w:cs="Times New Roman"/>
          <w:sz w:val="24"/>
          <w:szCs w:val="24"/>
        </w:rPr>
        <w:t>-</w:t>
      </w:r>
      <w:r w:rsidR="009A1010" w:rsidRPr="008B1AE0">
        <w:rPr>
          <w:rFonts w:ascii="Times New Roman" w:hAnsi="Times New Roman" w:cs="Times New Roman"/>
          <w:sz w:val="24"/>
          <w:szCs w:val="24"/>
        </w:rPr>
        <w:t>year cycle</w:t>
      </w:r>
      <w:r w:rsidR="008337D9" w:rsidRPr="008B1AE0">
        <w:rPr>
          <w:rFonts w:ascii="Times New Roman" w:hAnsi="Times New Roman" w:cs="Times New Roman"/>
          <w:sz w:val="24"/>
          <w:szCs w:val="24"/>
        </w:rPr>
        <w:t xml:space="preserve">, </w:t>
      </w:r>
      <w:r w:rsidR="009A1010" w:rsidRPr="008B1AE0">
        <w:rPr>
          <w:rFonts w:ascii="Times New Roman" w:hAnsi="Times New Roman" w:cs="Times New Roman"/>
          <w:sz w:val="24"/>
          <w:szCs w:val="24"/>
        </w:rPr>
        <w:t xml:space="preserve">the evaluator worked with Nicor Gas staff and their IC to modify the method to reduce that uncertainly. </w:t>
      </w:r>
    </w:p>
    <w:p w14:paraId="3272F432" w14:textId="77777777" w:rsidR="008A14E2" w:rsidRPr="008B1AE0" w:rsidRDefault="008A14E2" w:rsidP="00F21471">
      <w:pPr>
        <w:ind w:firstLine="720"/>
        <w:rPr>
          <w:rFonts w:ascii="Times New Roman" w:hAnsi="Times New Roman" w:cs="Times New Roman"/>
          <w:sz w:val="24"/>
          <w:szCs w:val="24"/>
        </w:rPr>
      </w:pPr>
    </w:p>
    <w:p w14:paraId="7F846CC1" w14:textId="77777777" w:rsidR="00902BDF" w:rsidRPr="00FA1E90" w:rsidRDefault="00902BDF" w:rsidP="00A0280D">
      <w:pPr>
        <w:rPr>
          <w:rFonts w:ascii="Times New Roman" w:hAnsi="Times New Roman" w:cs="Times New Roman"/>
          <w:b/>
          <w:sz w:val="28"/>
          <w:szCs w:val="28"/>
        </w:rPr>
      </w:pPr>
      <w:r w:rsidRPr="00FA1E90">
        <w:rPr>
          <w:rFonts w:ascii="Times New Roman" w:hAnsi="Times New Roman" w:cs="Times New Roman"/>
          <w:b/>
          <w:sz w:val="28"/>
          <w:szCs w:val="28"/>
        </w:rPr>
        <w:t>Methodology</w:t>
      </w:r>
    </w:p>
    <w:p w14:paraId="7F0F01B2" w14:textId="77777777" w:rsidR="008A14E2" w:rsidRPr="00FA1E90" w:rsidRDefault="008A14E2" w:rsidP="00F21471">
      <w:pPr>
        <w:rPr>
          <w:rFonts w:ascii="Times New Roman" w:hAnsi="Times New Roman" w:cs="Times New Roman"/>
          <w:b/>
          <w:sz w:val="28"/>
          <w:szCs w:val="28"/>
        </w:rPr>
      </w:pPr>
    </w:p>
    <w:p w14:paraId="164D374E" w14:textId="28139E8A" w:rsidR="00886443" w:rsidRPr="008B1AE0" w:rsidRDefault="009A1010" w:rsidP="00A0280D">
      <w:pPr>
        <w:ind w:firstLine="720"/>
        <w:rPr>
          <w:rFonts w:ascii="Times New Roman" w:hAnsi="Times New Roman" w:cs="Times New Roman"/>
          <w:sz w:val="24"/>
          <w:szCs w:val="24"/>
        </w:rPr>
      </w:pPr>
      <w:r w:rsidRPr="008B1AE0">
        <w:rPr>
          <w:rFonts w:ascii="Times New Roman" w:hAnsi="Times New Roman" w:cs="Times New Roman"/>
          <w:sz w:val="24"/>
          <w:szCs w:val="24"/>
        </w:rPr>
        <w:t xml:space="preserve">The </w:t>
      </w:r>
      <w:r w:rsidR="00F003A8" w:rsidRPr="008B1AE0">
        <w:rPr>
          <w:rFonts w:ascii="Times New Roman" w:hAnsi="Times New Roman" w:cs="Times New Roman"/>
          <w:sz w:val="24"/>
          <w:szCs w:val="24"/>
        </w:rPr>
        <w:t xml:space="preserve">utility, IC and evaluator </w:t>
      </w:r>
      <w:r w:rsidRPr="008B1AE0">
        <w:rPr>
          <w:rFonts w:ascii="Times New Roman" w:hAnsi="Times New Roman" w:cs="Times New Roman"/>
          <w:sz w:val="24"/>
          <w:szCs w:val="24"/>
        </w:rPr>
        <w:t>team</w:t>
      </w:r>
      <w:r w:rsidR="009321CC" w:rsidRPr="008B1AE0">
        <w:rPr>
          <w:rFonts w:ascii="Times New Roman" w:hAnsi="Times New Roman" w:cs="Times New Roman"/>
          <w:sz w:val="24"/>
          <w:szCs w:val="24"/>
        </w:rPr>
        <w:t xml:space="preserve"> (Nicor Gas Team) </w:t>
      </w:r>
      <w:r w:rsidRPr="008B1AE0">
        <w:rPr>
          <w:rFonts w:ascii="Times New Roman" w:hAnsi="Times New Roman" w:cs="Times New Roman"/>
          <w:sz w:val="24"/>
          <w:szCs w:val="24"/>
        </w:rPr>
        <w:t>adopted</w:t>
      </w:r>
      <w:r w:rsidR="00886443" w:rsidRPr="008B1AE0">
        <w:rPr>
          <w:rFonts w:ascii="Times New Roman" w:hAnsi="Times New Roman" w:cs="Times New Roman"/>
          <w:sz w:val="24"/>
          <w:szCs w:val="24"/>
        </w:rPr>
        <w:t xml:space="preserve"> two processes to reduce the variability in final reported savings, one targeting the gross savings realization rate </w:t>
      </w:r>
      <w:r w:rsidR="00555092">
        <w:rPr>
          <w:rFonts w:ascii="Times New Roman" w:hAnsi="Times New Roman" w:cs="Times New Roman"/>
          <w:sz w:val="24"/>
          <w:szCs w:val="24"/>
        </w:rPr>
        <w:t xml:space="preserve">(RR) </w:t>
      </w:r>
      <w:r w:rsidR="00886443" w:rsidRPr="008B1AE0">
        <w:rPr>
          <w:rFonts w:ascii="Times New Roman" w:hAnsi="Times New Roman" w:cs="Times New Roman"/>
          <w:sz w:val="24"/>
          <w:szCs w:val="24"/>
        </w:rPr>
        <w:t xml:space="preserve">and the second the evaluator NTGR compared to the ICs expected NTGR. </w:t>
      </w:r>
    </w:p>
    <w:p w14:paraId="6F4B9659" w14:textId="77777777" w:rsidR="008A14E2" w:rsidRPr="008B1AE0" w:rsidRDefault="008A14E2" w:rsidP="00F21471">
      <w:pPr>
        <w:rPr>
          <w:rFonts w:ascii="Times New Roman" w:hAnsi="Times New Roman" w:cs="Times New Roman"/>
          <w:sz w:val="24"/>
          <w:szCs w:val="24"/>
        </w:rPr>
      </w:pPr>
    </w:p>
    <w:p w14:paraId="2B4F634F" w14:textId="77777777" w:rsidR="00886443" w:rsidRPr="00FA1E90" w:rsidRDefault="00886443" w:rsidP="00A0280D">
      <w:pPr>
        <w:rPr>
          <w:rFonts w:ascii="Times New Roman" w:hAnsi="Times New Roman" w:cs="Times New Roman"/>
          <w:b/>
          <w:sz w:val="28"/>
          <w:szCs w:val="28"/>
        </w:rPr>
      </w:pPr>
      <w:r w:rsidRPr="00FA1E90">
        <w:rPr>
          <w:rFonts w:ascii="Times New Roman" w:hAnsi="Times New Roman" w:cs="Times New Roman"/>
          <w:b/>
          <w:sz w:val="28"/>
          <w:szCs w:val="28"/>
        </w:rPr>
        <w:t>Reducing Realization Rate Variability</w:t>
      </w:r>
    </w:p>
    <w:p w14:paraId="41D3BF1B" w14:textId="77777777" w:rsidR="008A14E2" w:rsidRPr="00FA1E90" w:rsidRDefault="008A14E2" w:rsidP="00F21471">
      <w:pPr>
        <w:rPr>
          <w:rFonts w:ascii="Times New Roman" w:hAnsi="Times New Roman" w:cs="Times New Roman"/>
          <w:b/>
          <w:sz w:val="28"/>
          <w:szCs w:val="28"/>
        </w:rPr>
      </w:pPr>
    </w:p>
    <w:p w14:paraId="1FA19B7A" w14:textId="476248DF" w:rsidR="009321CC" w:rsidRPr="00FA1E90" w:rsidRDefault="009321CC" w:rsidP="00A0280D">
      <w:pPr>
        <w:ind w:firstLine="720"/>
        <w:rPr>
          <w:rFonts w:ascii="Times New Roman" w:hAnsi="Times New Roman" w:cs="Times New Roman"/>
          <w:sz w:val="24"/>
          <w:szCs w:val="24"/>
        </w:rPr>
      </w:pPr>
      <w:r w:rsidRPr="00FA1E90">
        <w:rPr>
          <w:rFonts w:ascii="Times New Roman" w:hAnsi="Times New Roman" w:cs="Times New Roman"/>
          <w:sz w:val="24"/>
          <w:szCs w:val="24"/>
        </w:rPr>
        <w:t>The Nicor Gas team initially identified the key issue behind the variability in RRs as a baseline issue, specifically the difference in the fundamental assumption as to whether the equipment was being replaced before the end of its life (early replacement) or at the end of its useful li</w:t>
      </w:r>
      <w:r w:rsidR="0068116D">
        <w:rPr>
          <w:rFonts w:ascii="Times New Roman" w:hAnsi="Times New Roman" w:cs="Times New Roman"/>
          <w:sz w:val="24"/>
          <w:szCs w:val="24"/>
        </w:rPr>
        <w:t>fe (replaced on burnout</w:t>
      </w:r>
      <w:r w:rsidRPr="00FA1E90">
        <w:rPr>
          <w:rFonts w:ascii="Times New Roman" w:hAnsi="Times New Roman" w:cs="Times New Roman"/>
          <w:sz w:val="24"/>
          <w:szCs w:val="24"/>
        </w:rPr>
        <w:t>)</w:t>
      </w:r>
      <w:r w:rsidR="0068116D">
        <w:rPr>
          <w:rFonts w:ascii="Times New Roman" w:hAnsi="Times New Roman" w:cs="Times New Roman"/>
          <w:sz w:val="24"/>
          <w:szCs w:val="24"/>
        </w:rPr>
        <w:t>.</w:t>
      </w:r>
      <w:r w:rsidRPr="00FA1E90">
        <w:rPr>
          <w:rFonts w:ascii="Times New Roman" w:hAnsi="Times New Roman" w:cs="Times New Roman"/>
          <w:sz w:val="24"/>
          <w:szCs w:val="24"/>
        </w:rPr>
        <w:t xml:space="preserve"> With a closer review of the projects with very high and very low RRs, however, the Nicor Gas team realized that the variance in RRs was driven more by broad issues in savings estimation approaches. Consequently, the team ended up developing a more broad</w:t>
      </w:r>
      <w:r w:rsidR="00C464F7">
        <w:rPr>
          <w:rFonts w:ascii="Times New Roman" w:hAnsi="Times New Roman" w:cs="Times New Roman"/>
          <w:sz w:val="24"/>
          <w:szCs w:val="24"/>
        </w:rPr>
        <w:t>-</w:t>
      </w:r>
      <w:r w:rsidRPr="00FA1E90">
        <w:rPr>
          <w:rFonts w:ascii="Times New Roman" w:hAnsi="Times New Roman" w:cs="Times New Roman"/>
          <w:sz w:val="24"/>
          <w:szCs w:val="24"/>
        </w:rPr>
        <w:t>based approach to address the issues.</w:t>
      </w:r>
    </w:p>
    <w:p w14:paraId="15D65FA1" w14:textId="03C1AC21" w:rsidR="009A1010" w:rsidRDefault="00F96CC4" w:rsidP="0068116D">
      <w:pPr>
        <w:ind w:firstLine="720"/>
        <w:rPr>
          <w:rFonts w:ascii="Times New Roman" w:hAnsi="Times New Roman" w:cs="Times New Roman"/>
          <w:sz w:val="24"/>
          <w:szCs w:val="24"/>
        </w:rPr>
      </w:pPr>
      <w:r w:rsidRPr="0068116D">
        <w:rPr>
          <w:rFonts w:ascii="Times New Roman" w:hAnsi="Times New Roman" w:cs="Times New Roman"/>
          <w:sz w:val="24"/>
          <w:szCs w:val="24"/>
        </w:rPr>
        <w:fldChar w:fldCharType="begin"/>
      </w:r>
      <w:r w:rsidRPr="0068116D">
        <w:rPr>
          <w:rFonts w:ascii="Times New Roman" w:hAnsi="Times New Roman" w:cs="Times New Roman"/>
          <w:sz w:val="24"/>
          <w:szCs w:val="24"/>
        </w:rPr>
        <w:instrText xml:space="preserve"> REF _Ref387910207 \h  \* MERGEFORMAT </w:instrText>
      </w:r>
      <w:r w:rsidRPr="0068116D">
        <w:rPr>
          <w:rFonts w:ascii="Times New Roman" w:hAnsi="Times New Roman" w:cs="Times New Roman"/>
          <w:sz w:val="24"/>
          <w:szCs w:val="24"/>
        </w:rPr>
      </w:r>
      <w:r w:rsidRPr="0068116D">
        <w:rPr>
          <w:rFonts w:ascii="Times New Roman" w:hAnsi="Times New Roman" w:cs="Times New Roman"/>
          <w:sz w:val="24"/>
          <w:szCs w:val="24"/>
        </w:rPr>
        <w:fldChar w:fldCharType="separate"/>
      </w:r>
      <w:r w:rsidRPr="0068116D">
        <w:rPr>
          <w:rFonts w:ascii="Times New Roman" w:hAnsi="Times New Roman" w:cs="Times New Roman"/>
          <w:sz w:val="24"/>
          <w:szCs w:val="24"/>
        </w:rPr>
        <w:t>Figure</w:t>
      </w:r>
      <w:r w:rsidRPr="0068116D">
        <w:rPr>
          <w:rFonts w:ascii="Times New Roman" w:hAnsi="Times New Roman" w:cs="Times New Roman"/>
          <w:noProof/>
          <w:sz w:val="24"/>
          <w:szCs w:val="24"/>
        </w:rPr>
        <w:t xml:space="preserve"> 3</w:t>
      </w:r>
      <w:r w:rsidRPr="0068116D">
        <w:rPr>
          <w:rFonts w:ascii="Times New Roman" w:hAnsi="Times New Roman" w:cs="Times New Roman"/>
          <w:sz w:val="24"/>
          <w:szCs w:val="24"/>
        </w:rPr>
        <w:fldChar w:fldCharType="end"/>
      </w:r>
      <w:r>
        <w:rPr>
          <w:rFonts w:ascii="Times New Roman" w:hAnsi="Times New Roman" w:cs="Times New Roman"/>
          <w:sz w:val="24"/>
          <w:szCs w:val="24"/>
        </w:rPr>
        <w:t xml:space="preserve"> details the six key components of the adopted approach used to reduce realization rate variability. The paragraphs below discuss these components. </w:t>
      </w:r>
    </w:p>
    <w:p w14:paraId="46B2B7AD" w14:textId="77777777" w:rsidR="006F2AFF" w:rsidRPr="00FA1E90" w:rsidRDefault="006F2AFF" w:rsidP="00A0280D">
      <w:pPr>
        <w:ind w:firstLine="720"/>
        <w:rPr>
          <w:rFonts w:ascii="Times New Roman" w:hAnsi="Times New Roman" w:cs="Times New Roman"/>
          <w:sz w:val="24"/>
          <w:szCs w:val="24"/>
        </w:rPr>
      </w:pPr>
    </w:p>
    <w:p w14:paraId="215718FA" w14:textId="77777777" w:rsidR="006F2AFF" w:rsidRDefault="00453205" w:rsidP="006F2AFF">
      <w:pPr>
        <w:rPr>
          <w:rFonts w:ascii="Times New Roman" w:hAnsi="Times New Roman"/>
          <w:sz w:val="24"/>
        </w:rPr>
      </w:pPr>
      <w:r>
        <w:rPr>
          <w:noProof/>
        </w:rPr>
        <w:lastRenderedPageBreak/>
        <w:drawing>
          <wp:inline distT="0" distB="0" distL="0" distR="0" wp14:anchorId="09C351E9" wp14:editId="571DDD74">
            <wp:extent cx="5191125" cy="3733800"/>
            <wp:effectExtent l="0" t="0" r="9525"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Start w:id="4" w:name="_Ref387910207"/>
      <w:bookmarkStart w:id="5" w:name="_Ref387910196"/>
    </w:p>
    <w:p w14:paraId="2F075A1B" w14:textId="446736EB" w:rsidR="008A14E2" w:rsidRPr="006F2AFF" w:rsidRDefault="00265317" w:rsidP="006F2AFF">
      <w:pPr>
        <w:spacing w:after="200"/>
      </w:pPr>
      <w:r w:rsidRPr="006F2AFF">
        <w:rPr>
          <w:rFonts w:ascii="Times New Roman" w:hAnsi="Times New Roman"/>
          <w:b/>
          <w:sz w:val="24"/>
        </w:rPr>
        <w:t xml:space="preserve">Figure </w:t>
      </w:r>
      <w:r w:rsidR="00B13085" w:rsidRPr="006F2AFF">
        <w:rPr>
          <w:rFonts w:ascii="Times New Roman" w:hAnsi="Times New Roman" w:cs="Times New Roman"/>
          <w:b/>
          <w:sz w:val="24"/>
          <w:szCs w:val="24"/>
        </w:rPr>
        <w:fldChar w:fldCharType="begin"/>
      </w:r>
      <w:r w:rsidR="00B13085" w:rsidRPr="006F2AFF">
        <w:rPr>
          <w:rFonts w:ascii="Times New Roman" w:hAnsi="Times New Roman" w:cs="Times New Roman"/>
          <w:b/>
          <w:sz w:val="24"/>
          <w:szCs w:val="24"/>
        </w:rPr>
        <w:instrText xml:space="preserve"> SEQ Figure \* ARABIC </w:instrText>
      </w:r>
      <w:r w:rsidR="00B13085" w:rsidRPr="006F2AFF">
        <w:rPr>
          <w:rFonts w:ascii="Times New Roman" w:hAnsi="Times New Roman" w:cs="Times New Roman"/>
          <w:b/>
          <w:sz w:val="24"/>
          <w:szCs w:val="24"/>
        </w:rPr>
        <w:fldChar w:fldCharType="separate"/>
      </w:r>
      <w:r w:rsidR="00D83370">
        <w:rPr>
          <w:rFonts w:ascii="Times New Roman" w:hAnsi="Times New Roman" w:cs="Times New Roman"/>
          <w:b/>
          <w:noProof/>
          <w:sz w:val="24"/>
          <w:szCs w:val="24"/>
        </w:rPr>
        <w:t>3</w:t>
      </w:r>
      <w:r w:rsidR="00B13085" w:rsidRPr="006F2AFF">
        <w:rPr>
          <w:rFonts w:ascii="Times New Roman" w:hAnsi="Times New Roman" w:cs="Times New Roman"/>
          <w:b/>
          <w:sz w:val="24"/>
          <w:szCs w:val="24"/>
        </w:rPr>
        <w:fldChar w:fldCharType="end"/>
      </w:r>
      <w:bookmarkEnd w:id="4"/>
      <w:r w:rsidR="006F2AFF">
        <w:rPr>
          <w:rFonts w:ascii="Times New Roman" w:hAnsi="Times New Roman" w:cs="Times New Roman"/>
          <w:b/>
          <w:sz w:val="24"/>
          <w:szCs w:val="24"/>
        </w:rPr>
        <w:t>.</w:t>
      </w:r>
      <w:r w:rsidRPr="00265317">
        <w:rPr>
          <w:sz w:val="24"/>
          <w:szCs w:val="24"/>
        </w:rPr>
        <w:t xml:space="preserve"> </w:t>
      </w:r>
      <w:r w:rsidRPr="00A0280D">
        <w:rPr>
          <w:rFonts w:ascii="Times New Roman" w:hAnsi="Times New Roman"/>
          <w:sz w:val="24"/>
        </w:rPr>
        <w:t>Early Review of Custom Project Gross Savings</w:t>
      </w:r>
      <w:bookmarkEnd w:id="5"/>
    </w:p>
    <w:p w14:paraId="6BE39154" w14:textId="77777777" w:rsidR="00502B89" w:rsidRDefault="009A1010" w:rsidP="00502B89">
      <w:pPr>
        <w:rPr>
          <w:rFonts w:ascii="Times New Roman" w:hAnsi="Times New Roman" w:cs="Times New Roman"/>
          <w:sz w:val="24"/>
          <w:szCs w:val="24"/>
        </w:rPr>
      </w:pPr>
      <w:r w:rsidRPr="00FA1E90">
        <w:rPr>
          <w:rFonts w:ascii="Times New Roman" w:hAnsi="Times New Roman" w:cs="Times New Roman"/>
          <w:b/>
          <w:sz w:val="24"/>
          <w:szCs w:val="24"/>
        </w:rPr>
        <w:t>Top</w:t>
      </w:r>
      <w:r w:rsidR="00DB1F17" w:rsidRPr="00FA1E90">
        <w:rPr>
          <w:rFonts w:ascii="Times New Roman" w:hAnsi="Times New Roman" w:cs="Times New Roman"/>
          <w:b/>
          <w:sz w:val="24"/>
          <w:szCs w:val="24"/>
        </w:rPr>
        <w:t xml:space="preserve"> 10 custom projects</w:t>
      </w:r>
      <w:r w:rsidRPr="00FA1E90">
        <w:rPr>
          <w:rFonts w:ascii="Times New Roman" w:hAnsi="Times New Roman" w:cs="Times New Roman"/>
          <w:sz w:val="24"/>
          <w:szCs w:val="24"/>
        </w:rPr>
        <w:t>.</w:t>
      </w:r>
      <w:r w:rsidR="00DB1F17" w:rsidRPr="00FA1E90">
        <w:rPr>
          <w:rFonts w:ascii="Times New Roman" w:hAnsi="Times New Roman" w:cs="Times New Roman"/>
          <w:sz w:val="24"/>
          <w:szCs w:val="24"/>
        </w:rPr>
        <w:t xml:space="preserve"> </w:t>
      </w:r>
      <w:r w:rsidRPr="00FA1E90">
        <w:rPr>
          <w:rFonts w:ascii="Times New Roman" w:hAnsi="Times New Roman" w:cs="Times New Roman"/>
          <w:sz w:val="24"/>
          <w:szCs w:val="24"/>
        </w:rPr>
        <w:t xml:space="preserve"> </w:t>
      </w:r>
    </w:p>
    <w:p w14:paraId="2334440C" w14:textId="63B99DBA" w:rsidR="00502B89" w:rsidRDefault="00797EB5" w:rsidP="00502B89">
      <w:pPr>
        <w:ind w:firstLine="720"/>
        <w:rPr>
          <w:rFonts w:ascii="Times New Roman" w:hAnsi="Times New Roman" w:cs="Times New Roman"/>
          <w:sz w:val="24"/>
          <w:szCs w:val="24"/>
        </w:rPr>
      </w:pPr>
      <w:r>
        <w:rPr>
          <w:rFonts w:ascii="Times New Roman" w:hAnsi="Times New Roman" w:cs="Times New Roman"/>
          <w:sz w:val="24"/>
          <w:szCs w:val="24"/>
        </w:rPr>
        <w:t>During the program year, t</w:t>
      </w:r>
      <w:r w:rsidR="009A1010" w:rsidRPr="00FA1E90">
        <w:rPr>
          <w:rFonts w:ascii="Times New Roman" w:hAnsi="Times New Roman" w:cs="Times New Roman"/>
          <w:sz w:val="24"/>
          <w:szCs w:val="24"/>
        </w:rPr>
        <w:t xml:space="preserve">he IC identified 10 projects that had the </w:t>
      </w:r>
      <w:r w:rsidR="009A1010" w:rsidRPr="00FA1E90">
        <w:rPr>
          <w:rFonts w:ascii="Times New Roman" w:hAnsi="Times New Roman" w:cs="Times New Roman"/>
          <w:i/>
          <w:sz w:val="24"/>
          <w:szCs w:val="24"/>
        </w:rPr>
        <w:t xml:space="preserve">potential to generate the largest variance in final </w:t>
      </w:r>
      <w:r w:rsidR="00F003A8" w:rsidRPr="00FA1E90">
        <w:rPr>
          <w:rFonts w:ascii="Times New Roman" w:hAnsi="Times New Roman" w:cs="Times New Roman"/>
          <w:i/>
          <w:sz w:val="24"/>
          <w:szCs w:val="24"/>
        </w:rPr>
        <w:t xml:space="preserve">gross </w:t>
      </w:r>
      <w:r w:rsidR="009A1010" w:rsidRPr="00FA1E90">
        <w:rPr>
          <w:rFonts w:ascii="Times New Roman" w:hAnsi="Times New Roman" w:cs="Times New Roman"/>
          <w:i/>
          <w:sz w:val="24"/>
          <w:szCs w:val="24"/>
        </w:rPr>
        <w:t>verified project savings</w:t>
      </w:r>
      <w:r w:rsidR="00CC2420">
        <w:rPr>
          <w:rFonts w:ascii="Times New Roman" w:hAnsi="Times New Roman" w:cs="Times New Roman"/>
          <w:i/>
          <w:sz w:val="24"/>
          <w:szCs w:val="24"/>
        </w:rPr>
        <w:t xml:space="preserve"> and in total accounted for about 50% of annual program savings</w:t>
      </w:r>
      <w:r w:rsidR="009A1010" w:rsidRPr="00FA1E90">
        <w:rPr>
          <w:rFonts w:ascii="Times New Roman" w:hAnsi="Times New Roman" w:cs="Times New Roman"/>
          <w:sz w:val="24"/>
          <w:szCs w:val="24"/>
        </w:rPr>
        <w:t xml:space="preserve">. </w:t>
      </w:r>
      <w:r w:rsidR="00F003A8" w:rsidRPr="00FA1E90">
        <w:rPr>
          <w:rFonts w:ascii="Times New Roman" w:hAnsi="Times New Roman" w:cs="Times New Roman"/>
          <w:sz w:val="24"/>
          <w:szCs w:val="24"/>
        </w:rPr>
        <w:t>Specificall</w:t>
      </w:r>
      <w:r w:rsidR="009A1010" w:rsidRPr="00FA1E90">
        <w:rPr>
          <w:rFonts w:ascii="Times New Roman" w:hAnsi="Times New Roman" w:cs="Times New Roman"/>
          <w:sz w:val="24"/>
          <w:szCs w:val="24"/>
        </w:rPr>
        <w:t>y, the IC identified two types of projects</w:t>
      </w:r>
      <w:r w:rsidR="00F003A8" w:rsidRPr="00FA1E90">
        <w:rPr>
          <w:rFonts w:ascii="Times New Roman" w:hAnsi="Times New Roman" w:cs="Times New Roman"/>
          <w:sz w:val="24"/>
          <w:szCs w:val="24"/>
        </w:rPr>
        <w:t xml:space="preserve"> to focus on</w:t>
      </w:r>
      <w:r w:rsidR="009A1010" w:rsidRPr="00FA1E90">
        <w:rPr>
          <w:rFonts w:ascii="Times New Roman" w:hAnsi="Times New Roman" w:cs="Times New Roman"/>
          <w:sz w:val="24"/>
          <w:szCs w:val="24"/>
        </w:rPr>
        <w:t xml:space="preserve">: (1) </w:t>
      </w:r>
      <w:r w:rsidR="00F04400" w:rsidRPr="00FA1E90">
        <w:rPr>
          <w:rFonts w:ascii="Times New Roman" w:hAnsi="Times New Roman" w:cs="Times New Roman"/>
          <w:sz w:val="24"/>
          <w:szCs w:val="24"/>
        </w:rPr>
        <w:t xml:space="preserve">projects with the </w:t>
      </w:r>
      <w:r w:rsidR="00DB1F17" w:rsidRPr="00FA1E90">
        <w:rPr>
          <w:rFonts w:ascii="Times New Roman" w:hAnsi="Times New Roman" w:cs="Times New Roman"/>
          <w:sz w:val="24"/>
          <w:szCs w:val="24"/>
        </w:rPr>
        <w:t>greatest uncertainty regarding baseline (most notab</w:t>
      </w:r>
      <w:r w:rsidR="00F04400" w:rsidRPr="00FA1E90">
        <w:rPr>
          <w:rFonts w:ascii="Times New Roman" w:hAnsi="Times New Roman" w:cs="Times New Roman"/>
          <w:sz w:val="24"/>
          <w:szCs w:val="24"/>
        </w:rPr>
        <w:t>ly early replacement or replaced on burn out</w:t>
      </w:r>
      <w:r w:rsidR="00F003A8" w:rsidRPr="00FA1E90">
        <w:rPr>
          <w:rFonts w:ascii="Times New Roman" w:hAnsi="Times New Roman" w:cs="Times New Roman"/>
          <w:sz w:val="24"/>
          <w:szCs w:val="24"/>
        </w:rPr>
        <w:t xml:space="preserve"> determination</w:t>
      </w:r>
      <w:r w:rsidR="00F04400" w:rsidRPr="00FA1E90">
        <w:rPr>
          <w:rFonts w:ascii="Times New Roman" w:hAnsi="Times New Roman" w:cs="Times New Roman"/>
          <w:sz w:val="24"/>
          <w:szCs w:val="24"/>
        </w:rPr>
        <w:t xml:space="preserve">) </w:t>
      </w:r>
      <w:r w:rsidR="00DB1F17" w:rsidRPr="00FA1E90">
        <w:rPr>
          <w:rFonts w:ascii="Times New Roman" w:hAnsi="Times New Roman" w:cs="Times New Roman"/>
          <w:sz w:val="24"/>
          <w:szCs w:val="24"/>
        </w:rPr>
        <w:t xml:space="preserve">or </w:t>
      </w:r>
      <w:r w:rsidR="00F04400" w:rsidRPr="00FA1E90">
        <w:rPr>
          <w:rFonts w:ascii="Times New Roman" w:hAnsi="Times New Roman" w:cs="Times New Roman"/>
          <w:sz w:val="24"/>
          <w:szCs w:val="24"/>
        </w:rPr>
        <w:t xml:space="preserve">(2) </w:t>
      </w:r>
      <w:r w:rsidR="00DB1F17" w:rsidRPr="00FA1E90">
        <w:rPr>
          <w:rFonts w:ascii="Times New Roman" w:hAnsi="Times New Roman" w:cs="Times New Roman"/>
          <w:sz w:val="24"/>
          <w:szCs w:val="24"/>
        </w:rPr>
        <w:t>the 10</w:t>
      </w:r>
      <w:r w:rsidR="00F003A8" w:rsidRPr="00FA1E90">
        <w:rPr>
          <w:rFonts w:ascii="Times New Roman" w:hAnsi="Times New Roman" w:cs="Times New Roman"/>
          <w:sz w:val="24"/>
          <w:szCs w:val="24"/>
        </w:rPr>
        <w:t xml:space="preserve"> projects anticipated to have</w:t>
      </w:r>
      <w:r w:rsidR="00DB1F17" w:rsidRPr="00FA1E90">
        <w:rPr>
          <w:rFonts w:ascii="Times New Roman" w:hAnsi="Times New Roman" w:cs="Times New Roman"/>
          <w:sz w:val="24"/>
          <w:szCs w:val="24"/>
        </w:rPr>
        <w:t xml:space="preserve"> </w:t>
      </w:r>
      <w:r w:rsidR="00F04400" w:rsidRPr="00FA1E90">
        <w:rPr>
          <w:rFonts w:ascii="Times New Roman" w:hAnsi="Times New Roman" w:cs="Times New Roman"/>
          <w:sz w:val="24"/>
          <w:szCs w:val="24"/>
        </w:rPr>
        <w:t xml:space="preserve">most projected </w:t>
      </w:r>
      <w:r w:rsidR="00F003A8" w:rsidRPr="00FA1E90">
        <w:rPr>
          <w:rFonts w:ascii="Times New Roman" w:hAnsi="Times New Roman" w:cs="Times New Roman"/>
          <w:sz w:val="24"/>
          <w:szCs w:val="24"/>
        </w:rPr>
        <w:t xml:space="preserve">first year </w:t>
      </w:r>
      <w:r w:rsidR="00F04400" w:rsidRPr="00FA1E90">
        <w:rPr>
          <w:rFonts w:ascii="Times New Roman" w:hAnsi="Times New Roman" w:cs="Times New Roman"/>
          <w:sz w:val="24"/>
          <w:szCs w:val="24"/>
        </w:rPr>
        <w:t>savings</w:t>
      </w:r>
      <w:r w:rsidR="00F003A8" w:rsidRPr="00FA1E90">
        <w:rPr>
          <w:rFonts w:ascii="Times New Roman" w:hAnsi="Times New Roman" w:cs="Times New Roman"/>
          <w:sz w:val="24"/>
          <w:szCs w:val="24"/>
        </w:rPr>
        <w:t xml:space="preserve"> for that program year</w:t>
      </w:r>
      <w:r w:rsidR="00F04400" w:rsidRPr="00FA1E90">
        <w:rPr>
          <w:rFonts w:ascii="Times New Roman" w:hAnsi="Times New Roman" w:cs="Times New Roman"/>
          <w:sz w:val="24"/>
          <w:szCs w:val="24"/>
        </w:rPr>
        <w:t>. The team decided to limit the review to the 10 projects</w:t>
      </w:r>
      <w:r w:rsidR="0055243A">
        <w:rPr>
          <w:rFonts w:ascii="Times New Roman" w:hAnsi="Times New Roman" w:cs="Times New Roman"/>
          <w:sz w:val="24"/>
          <w:szCs w:val="24"/>
        </w:rPr>
        <w:t xml:space="preserve"> with the highest savings impacts</w:t>
      </w:r>
      <w:r w:rsidR="00F160A8">
        <w:rPr>
          <w:rFonts w:ascii="Times New Roman" w:hAnsi="Times New Roman" w:cs="Times New Roman"/>
          <w:sz w:val="24"/>
          <w:szCs w:val="24"/>
        </w:rPr>
        <w:t>. The team limited the early review scope</w:t>
      </w:r>
      <w:r w:rsidR="00F04400" w:rsidRPr="00FA1E90">
        <w:rPr>
          <w:rFonts w:ascii="Times New Roman" w:hAnsi="Times New Roman" w:cs="Times New Roman"/>
          <w:sz w:val="24"/>
          <w:szCs w:val="24"/>
        </w:rPr>
        <w:t xml:space="preserve"> because </w:t>
      </w:r>
      <w:r w:rsidR="001E0ABE">
        <w:rPr>
          <w:rFonts w:ascii="Times New Roman" w:hAnsi="Times New Roman" w:cs="Times New Roman"/>
          <w:sz w:val="24"/>
          <w:szCs w:val="24"/>
        </w:rPr>
        <w:t>of the potential related additional cost as the evaluator will verify these projects</w:t>
      </w:r>
      <w:r w:rsidR="00CC2420">
        <w:rPr>
          <w:rFonts w:ascii="Times New Roman" w:hAnsi="Times New Roman" w:cs="Times New Roman"/>
          <w:sz w:val="24"/>
          <w:szCs w:val="24"/>
        </w:rPr>
        <w:t xml:space="preserve"> </w:t>
      </w:r>
      <w:r w:rsidR="001E0ABE">
        <w:rPr>
          <w:rFonts w:ascii="Times New Roman" w:hAnsi="Times New Roman" w:cs="Times New Roman"/>
          <w:sz w:val="24"/>
          <w:szCs w:val="24"/>
        </w:rPr>
        <w:t xml:space="preserve">again </w:t>
      </w:r>
      <w:r w:rsidR="00CC2420">
        <w:rPr>
          <w:rFonts w:ascii="Times New Roman" w:hAnsi="Times New Roman" w:cs="Times New Roman"/>
          <w:sz w:val="24"/>
          <w:szCs w:val="24"/>
        </w:rPr>
        <w:t>post-implementation</w:t>
      </w:r>
      <w:r w:rsidR="002B4E90">
        <w:rPr>
          <w:rFonts w:ascii="Times New Roman" w:hAnsi="Times New Roman" w:cs="Times New Roman"/>
          <w:sz w:val="24"/>
          <w:szCs w:val="24"/>
        </w:rPr>
        <w:t>.</w:t>
      </w:r>
      <w:r w:rsidR="00F04400" w:rsidRPr="00FA1E90">
        <w:rPr>
          <w:rFonts w:ascii="Times New Roman" w:hAnsi="Times New Roman" w:cs="Times New Roman"/>
          <w:sz w:val="24"/>
          <w:szCs w:val="24"/>
        </w:rPr>
        <w:t xml:space="preserve"> </w:t>
      </w:r>
    </w:p>
    <w:p w14:paraId="7C19475B" w14:textId="77777777" w:rsidR="0068116D" w:rsidRPr="00FA1E90" w:rsidRDefault="0068116D" w:rsidP="00502B89">
      <w:pPr>
        <w:ind w:firstLine="720"/>
        <w:rPr>
          <w:rFonts w:ascii="Times New Roman" w:hAnsi="Times New Roman" w:cs="Times New Roman"/>
          <w:sz w:val="24"/>
          <w:szCs w:val="24"/>
        </w:rPr>
      </w:pPr>
    </w:p>
    <w:p w14:paraId="21A652BD" w14:textId="77777777" w:rsidR="00502B89" w:rsidRDefault="00F04400" w:rsidP="00502B89">
      <w:pPr>
        <w:rPr>
          <w:rFonts w:ascii="Times New Roman" w:hAnsi="Times New Roman" w:cs="Times New Roman"/>
          <w:sz w:val="24"/>
          <w:szCs w:val="24"/>
        </w:rPr>
      </w:pPr>
      <w:r w:rsidRPr="00FA1E90">
        <w:rPr>
          <w:rFonts w:ascii="Times New Roman" w:hAnsi="Times New Roman" w:cs="Times New Roman"/>
          <w:b/>
          <w:sz w:val="24"/>
          <w:szCs w:val="24"/>
        </w:rPr>
        <w:t>Review at time of application</w:t>
      </w:r>
      <w:r w:rsidR="00453205" w:rsidRPr="00FA1E90">
        <w:rPr>
          <w:rFonts w:ascii="Times New Roman" w:hAnsi="Times New Roman" w:cs="Times New Roman"/>
          <w:b/>
          <w:sz w:val="24"/>
          <w:szCs w:val="24"/>
        </w:rPr>
        <w:t xml:space="preserve"> (“Early Review”)</w:t>
      </w:r>
      <w:r w:rsidRPr="00FA1E90">
        <w:rPr>
          <w:rFonts w:ascii="Times New Roman" w:hAnsi="Times New Roman" w:cs="Times New Roman"/>
          <w:sz w:val="24"/>
          <w:szCs w:val="24"/>
        </w:rPr>
        <w:t xml:space="preserve">. </w:t>
      </w:r>
    </w:p>
    <w:p w14:paraId="3E8953D3" w14:textId="40817E66" w:rsidR="0035103D" w:rsidRPr="00FA1E90" w:rsidRDefault="0035103D" w:rsidP="00502B89">
      <w:pPr>
        <w:ind w:firstLine="720"/>
        <w:rPr>
          <w:rFonts w:ascii="Times New Roman" w:hAnsi="Times New Roman" w:cs="Times New Roman"/>
          <w:sz w:val="24"/>
          <w:szCs w:val="24"/>
        </w:rPr>
      </w:pPr>
      <w:r w:rsidRPr="00FA1E90">
        <w:rPr>
          <w:rFonts w:ascii="Times New Roman" w:hAnsi="Times New Roman" w:cs="Times New Roman"/>
          <w:sz w:val="24"/>
          <w:szCs w:val="24"/>
        </w:rPr>
        <w:t>Since the evaluator makes</w:t>
      </w:r>
      <w:r w:rsidR="00F003A8" w:rsidRPr="00FA1E90">
        <w:rPr>
          <w:rFonts w:ascii="Times New Roman" w:hAnsi="Times New Roman" w:cs="Times New Roman"/>
          <w:sz w:val="24"/>
          <w:szCs w:val="24"/>
        </w:rPr>
        <w:t xml:space="preserve"> the final determination of project savings, initial savings estimates needed to have more input from the evaluator to red</w:t>
      </w:r>
      <w:r w:rsidRPr="00FA1E90">
        <w:rPr>
          <w:rFonts w:ascii="Times New Roman" w:hAnsi="Times New Roman" w:cs="Times New Roman"/>
          <w:sz w:val="24"/>
          <w:szCs w:val="24"/>
        </w:rPr>
        <w:t>uce differences in the final sav</w:t>
      </w:r>
      <w:r w:rsidR="00F003A8" w:rsidRPr="00FA1E90">
        <w:rPr>
          <w:rFonts w:ascii="Times New Roman" w:hAnsi="Times New Roman" w:cs="Times New Roman"/>
          <w:sz w:val="24"/>
          <w:szCs w:val="24"/>
        </w:rPr>
        <w:t>ings value from the IC’s reported savings value. To do this, t</w:t>
      </w:r>
      <w:r w:rsidR="00F04400" w:rsidRPr="00FA1E90">
        <w:rPr>
          <w:rFonts w:ascii="Times New Roman" w:hAnsi="Times New Roman" w:cs="Times New Roman"/>
          <w:sz w:val="24"/>
          <w:szCs w:val="24"/>
        </w:rPr>
        <w:t xml:space="preserve">he IC sent the project files to the evaluator </w:t>
      </w:r>
      <w:r w:rsidR="00902BDF" w:rsidRPr="00FA1E90">
        <w:rPr>
          <w:rFonts w:ascii="Times New Roman" w:hAnsi="Times New Roman" w:cs="Times New Roman"/>
          <w:sz w:val="24"/>
          <w:szCs w:val="24"/>
        </w:rPr>
        <w:t xml:space="preserve">at point of </w:t>
      </w:r>
      <w:r w:rsidR="00F04400" w:rsidRPr="00FA1E90">
        <w:rPr>
          <w:rFonts w:ascii="Times New Roman" w:hAnsi="Times New Roman" w:cs="Times New Roman"/>
          <w:sz w:val="24"/>
          <w:szCs w:val="24"/>
        </w:rPr>
        <w:t xml:space="preserve">project </w:t>
      </w:r>
      <w:r w:rsidR="00F04400" w:rsidRPr="00A863CA">
        <w:rPr>
          <w:rFonts w:ascii="Times New Roman" w:hAnsi="Times New Roman" w:cs="Times New Roman"/>
          <w:sz w:val="24"/>
          <w:szCs w:val="24"/>
        </w:rPr>
        <w:t>application</w:t>
      </w:r>
      <w:r w:rsidR="00F04400" w:rsidRPr="00FA1E90">
        <w:rPr>
          <w:rFonts w:ascii="Times New Roman" w:hAnsi="Times New Roman" w:cs="Times New Roman"/>
          <w:sz w:val="24"/>
          <w:szCs w:val="24"/>
        </w:rPr>
        <w:t xml:space="preserve"> </w:t>
      </w:r>
      <w:r w:rsidR="00F003A8" w:rsidRPr="00FA1E90">
        <w:rPr>
          <w:rFonts w:ascii="Times New Roman" w:hAnsi="Times New Roman" w:cs="Times New Roman"/>
          <w:sz w:val="24"/>
          <w:szCs w:val="24"/>
        </w:rPr>
        <w:t xml:space="preserve">(instead of program </w:t>
      </w:r>
      <w:r w:rsidR="00A368DD" w:rsidRPr="00FA1E90">
        <w:rPr>
          <w:rFonts w:ascii="Times New Roman" w:hAnsi="Times New Roman" w:cs="Times New Roman"/>
          <w:sz w:val="24"/>
          <w:szCs w:val="24"/>
        </w:rPr>
        <w:t>year-end</w:t>
      </w:r>
      <w:r w:rsidRPr="00FA1E90">
        <w:rPr>
          <w:rFonts w:ascii="Times New Roman" w:hAnsi="Times New Roman" w:cs="Times New Roman"/>
          <w:sz w:val="24"/>
          <w:szCs w:val="24"/>
        </w:rPr>
        <w:t xml:space="preserve">, after the </w:t>
      </w:r>
      <w:r w:rsidR="00030479">
        <w:rPr>
          <w:rFonts w:ascii="Times New Roman" w:hAnsi="Times New Roman" w:cs="Times New Roman"/>
          <w:sz w:val="24"/>
          <w:szCs w:val="24"/>
        </w:rPr>
        <w:t>program cut-off date</w:t>
      </w:r>
      <w:r w:rsidRPr="00FA1E90">
        <w:rPr>
          <w:rFonts w:ascii="Times New Roman" w:hAnsi="Times New Roman" w:cs="Times New Roman"/>
          <w:sz w:val="24"/>
          <w:szCs w:val="24"/>
        </w:rPr>
        <w:t>). This enabled the</w:t>
      </w:r>
      <w:r w:rsidR="00F04400" w:rsidRPr="00FA1E90">
        <w:rPr>
          <w:rFonts w:ascii="Times New Roman" w:hAnsi="Times New Roman" w:cs="Times New Roman"/>
          <w:sz w:val="24"/>
          <w:szCs w:val="24"/>
        </w:rPr>
        <w:t xml:space="preserve"> evaluator </w:t>
      </w:r>
      <w:r w:rsidRPr="00FA1E90">
        <w:rPr>
          <w:rFonts w:ascii="Times New Roman" w:hAnsi="Times New Roman" w:cs="Times New Roman"/>
          <w:sz w:val="24"/>
          <w:szCs w:val="24"/>
        </w:rPr>
        <w:t>to</w:t>
      </w:r>
      <w:r w:rsidR="00F04400" w:rsidRPr="00FA1E90">
        <w:rPr>
          <w:rFonts w:ascii="Times New Roman" w:hAnsi="Times New Roman" w:cs="Times New Roman"/>
          <w:sz w:val="24"/>
          <w:szCs w:val="24"/>
        </w:rPr>
        <w:t xml:space="preserve"> </w:t>
      </w:r>
      <w:r w:rsidR="00902BDF" w:rsidRPr="00FA1E90">
        <w:rPr>
          <w:rFonts w:ascii="Times New Roman" w:hAnsi="Times New Roman" w:cs="Times New Roman"/>
          <w:sz w:val="24"/>
          <w:szCs w:val="24"/>
        </w:rPr>
        <w:t xml:space="preserve">provide input on </w:t>
      </w:r>
      <w:r w:rsidR="00F04400" w:rsidRPr="00FA1E90">
        <w:rPr>
          <w:rFonts w:ascii="Times New Roman" w:hAnsi="Times New Roman" w:cs="Times New Roman"/>
          <w:sz w:val="24"/>
          <w:szCs w:val="24"/>
        </w:rPr>
        <w:t xml:space="preserve">the </w:t>
      </w:r>
      <w:r w:rsidR="00902BDF" w:rsidRPr="00FA1E90">
        <w:rPr>
          <w:rFonts w:ascii="Times New Roman" w:hAnsi="Times New Roman" w:cs="Times New Roman"/>
          <w:sz w:val="24"/>
          <w:szCs w:val="24"/>
        </w:rPr>
        <w:t>appropriate baseline</w:t>
      </w:r>
      <w:r w:rsidRPr="00FA1E90">
        <w:rPr>
          <w:rFonts w:ascii="Times New Roman" w:hAnsi="Times New Roman" w:cs="Times New Roman"/>
          <w:sz w:val="24"/>
          <w:szCs w:val="24"/>
        </w:rPr>
        <w:t xml:space="preserve"> early in the pro</w:t>
      </w:r>
      <w:r w:rsidR="00953ACF">
        <w:rPr>
          <w:rFonts w:ascii="Times New Roman" w:hAnsi="Times New Roman" w:cs="Times New Roman"/>
          <w:sz w:val="24"/>
          <w:szCs w:val="24"/>
        </w:rPr>
        <w:t>cess, before even the estimated</w:t>
      </w:r>
      <w:r w:rsidRPr="00FA1E90">
        <w:rPr>
          <w:rFonts w:ascii="Times New Roman" w:hAnsi="Times New Roman" w:cs="Times New Roman"/>
          <w:sz w:val="24"/>
          <w:szCs w:val="24"/>
        </w:rPr>
        <w:t xml:space="preserve"> incentive was quoted to the potential participant</w:t>
      </w:r>
      <w:r w:rsidR="00F04400" w:rsidRPr="00FA1E90">
        <w:rPr>
          <w:rFonts w:ascii="Times New Roman" w:hAnsi="Times New Roman" w:cs="Times New Roman"/>
          <w:sz w:val="24"/>
          <w:szCs w:val="24"/>
        </w:rPr>
        <w:t xml:space="preserve">. </w:t>
      </w:r>
    </w:p>
    <w:p w14:paraId="3561ABEE" w14:textId="13B5D313" w:rsidR="00902BDF" w:rsidRDefault="00F04400" w:rsidP="00A0280D">
      <w:pPr>
        <w:ind w:firstLine="720"/>
        <w:rPr>
          <w:rFonts w:ascii="Times New Roman" w:hAnsi="Times New Roman" w:cs="Times New Roman"/>
          <w:sz w:val="24"/>
          <w:szCs w:val="24"/>
        </w:rPr>
      </w:pPr>
      <w:r w:rsidRPr="00FA1E90">
        <w:rPr>
          <w:rFonts w:ascii="Times New Roman" w:hAnsi="Times New Roman" w:cs="Times New Roman"/>
          <w:sz w:val="24"/>
          <w:szCs w:val="24"/>
        </w:rPr>
        <w:t>Relevant issues addressed at this point in time were not o</w:t>
      </w:r>
      <w:r w:rsidR="0035103D" w:rsidRPr="00FA1E90">
        <w:rPr>
          <w:rFonts w:ascii="Times New Roman" w:hAnsi="Times New Roman" w:cs="Times New Roman"/>
          <w:sz w:val="24"/>
          <w:szCs w:val="24"/>
        </w:rPr>
        <w:t>nly whether the equipment was</w:t>
      </w:r>
      <w:r w:rsidR="00F2683D">
        <w:rPr>
          <w:rFonts w:ascii="Times New Roman" w:hAnsi="Times New Roman" w:cs="Times New Roman"/>
          <w:sz w:val="24"/>
          <w:szCs w:val="24"/>
        </w:rPr>
        <w:t xml:space="preserve"> appropriately characterized as</w:t>
      </w:r>
      <w:r w:rsidR="0035103D" w:rsidRPr="00FA1E90">
        <w:rPr>
          <w:rFonts w:ascii="Times New Roman" w:hAnsi="Times New Roman" w:cs="Times New Roman"/>
          <w:sz w:val="24"/>
          <w:szCs w:val="24"/>
        </w:rPr>
        <w:t xml:space="preserve"> being replaced early (before it needed to be) or</w:t>
      </w:r>
      <w:r w:rsidRPr="00FA1E90">
        <w:rPr>
          <w:rFonts w:ascii="Times New Roman" w:hAnsi="Times New Roman" w:cs="Times New Roman"/>
          <w:sz w:val="24"/>
          <w:szCs w:val="24"/>
        </w:rPr>
        <w:t xml:space="preserve"> replace</w:t>
      </w:r>
      <w:r w:rsidR="0035103D" w:rsidRPr="00FA1E90">
        <w:rPr>
          <w:rFonts w:ascii="Times New Roman" w:hAnsi="Times New Roman" w:cs="Times New Roman"/>
          <w:sz w:val="24"/>
          <w:szCs w:val="24"/>
        </w:rPr>
        <w:t>d</w:t>
      </w:r>
      <w:r w:rsidRPr="00FA1E90">
        <w:rPr>
          <w:rFonts w:ascii="Times New Roman" w:hAnsi="Times New Roman" w:cs="Times New Roman"/>
          <w:sz w:val="24"/>
          <w:szCs w:val="24"/>
        </w:rPr>
        <w:t xml:space="preserve"> on burn out</w:t>
      </w:r>
      <w:r w:rsidR="0035103D" w:rsidRPr="00FA1E90">
        <w:rPr>
          <w:rFonts w:ascii="Times New Roman" w:hAnsi="Times New Roman" w:cs="Times New Roman"/>
          <w:sz w:val="24"/>
          <w:szCs w:val="24"/>
        </w:rPr>
        <w:t xml:space="preserve"> (because it had to </w:t>
      </w:r>
      <w:r w:rsidR="0035103D" w:rsidRPr="00F2683D">
        <w:rPr>
          <w:rFonts w:ascii="Times New Roman" w:hAnsi="Times New Roman" w:cs="Times New Roman"/>
          <w:sz w:val="24"/>
          <w:szCs w:val="24"/>
        </w:rPr>
        <w:t>be)</w:t>
      </w:r>
      <w:r w:rsidRPr="00F2683D">
        <w:rPr>
          <w:rFonts w:ascii="Times New Roman" w:hAnsi="Times New Roman" w:cs="Times New Roman"/>
          <w:sz w:val="24"/>
          <w:szCs w:val="24"/>
        </w:rPr>
        <w:t xml:space="preserve">, </w:t>
      </w:r>
      <w:r w:rsidR="001E4842" w:rsidRPr="00F2683D">
        <w:rPr>
          <w:rFonts w:ascii="Times New Roman" w:hAnsi="Times New Roman" w:cs="Times New Roman"/>
          <w:sz w:val="24"/>
          <w:szCs w:val="24"/>
        </w:rPr>
        <w:t xml:space="preserve">but also </w:t>
      </w:r>
      <w:r w:rsidR="00F2683D" w:rsidRPr="00F2683D">
        <w:rPr>
          <w:rFonts w:ascii="Times New Roman" w:hAnsi="Times New Roman" w:cs="Times New Roman"/>
          <w:sz w:val="24"/>
          <w:szCs w:val="24"/>
        </w:rPr>
        <w:t>whether the assumptions and algorithms behind the</w:t>
      </w:r>
      <w:r w:rsidR="001E4842" w:rsidRPr="00F2683D">
        <w:rPr>
          <w:rFonts w:ascii="Times New Roman" w:hAnsi="Times New Roman" w:cs="Times New Roman"/>
          <w:sz w:val="24"/>
          <w:szCs w:val="24"/>
        </w:rPr>
        <w:t xml:space="preserve"> savings estimation methodology </w:t>
      </w:r>
      <w:r w:rsidR="00F2683D" w:rsidRPr="00F2683D">
        <w:rPr>
          <w:rFonts w:ascii="Times New Roman" w:hAnsi="Times New Roman" w:cs="Times New Roman"/>
          <w:sz w:val="24"/>
          <w:szCs w:val="24"/>
        </w:rPr>
        <w:t>made sense and were correctly applied.</w:t>
      </w:r>
      <w:r w:rsidR="0035103D" w:rsidRPr="00F2683D">
        <w:rPr>
          <w:rFonts w:ascii="Times New Roman" w:hAnsi="Times New Roman" w:cs="Times New Roman"/>
          <w:sz w:val="24"/>
          <w:szCs w:val="24"/>
        </w:rPr>
        <w:t xml:space="preserve"> In the end</w:t>
      </w:r>
      <w:r w:rsidR="0035103D" w:rsidRPr="00FA1E90">
        <w:rPr>
          <w:rFonts w:ascii="Times New Roman" w:hAnsi="Times New Roman" w:cs="Times New Roman"/>
          <w:sz w:val="24"/>
          <w:szCs w:val="24"/>
        </w:rPr>
        <w:t>, this early review not only enabled the IC to estimate savings more in lin</w:t>
      </w:r>
      <w:r w:rsidR="000E6580" w:rsidRPr="00FA1E90">
        <w:rPr>
          <w:rFonts w:ascii="Times New Roman" w:hAnsi="Times New Roman" w:cs="Times New Roman"/>
          <w:sz w:val="24"/>
          <w:szCs w:val="24"/>
        </w:rPr>
        <w:t>e with the f</w:t>
      </w:r>
      <w:r w:rsidR="0035103D" w:rsidRPr="00FA1E90">
        <w:rPr>
          <w:rFonts w:ascii="Times New Roman" w:hAnsi="Times New Roman" w:cs="Times New Roman"/>
          <w:sz w:val="24"/>
          <w:szCs w:val="24"/>
        </w:rPr>
        <w:t xml:space="preserve">inal </w:t>
      </w:r>
      <w:r w:rsidR="00305624">
        <w:rPr>
          <w:rFonts w:ascii="Times New Roman" w:hAnsi="Times New Roman" w:cs="Times New Roman"/>
          <w:sz w:val="24"/>
          <w:szCs w:val="24"/>
        </w:rPr>
        <w:t>evaluated</w:t>
      </w:r>
      <w:r w:rsidR="0035103D" w:rsidRPr="00FA1E90">
        <w:rPr>
          <w:rFonts w:ascii="Times New Roman" w:hAnsi="Times New Roman" w:cs="Times New Roman"/>
          <w:sz w:val="24"/>
          <w:szCs w:val="24"/>
        </w:rPr>
        <w:t xml:space="preserve"> savings but to pay an incentive to the participant that better reflected the verified savings that the utility would </w:t>
      </w:r>
      <w:r w:rsidR="00DD6DA0">
        <w:rPr>
          <w:rFonts w:ascii="Times New Roman" w:hAnsi="Times New Roman" w:cs="Times New Roman"/>
          <w:sz w:val="24"/>
          <w:szCs w:val="24"/>
        </w:rPr>
        <w:t>realize</w:t>
      </w:r>
      <w:r w:rsidR="0035103D" w:rsidRPr="00FA1E90">
        <w:rPr>
          <w:rFonts w:ascii="Times New Roman" w:hAnsi="Times New Roman" w:cs="Times New Roman"/>
          <w:sz w:val="24"/>
          <w:szCs w:val="24"/>
        </w:rPr>
        <w:t>.</w:t>
      </w:r>
    </w:p>
    <w:p w14:paraId="18EBA561" w14:textId="77777777" w:rsidR="00502B89" w:rsidRPr="00FA1E90" w:rsidRDefault="00502B89" w:rsidP="00A0280D">
      <w:pPr>
        <w:ind w:firstLine="720"/>
        <w:rPr>
          <w:rFonts w:ascii="Times New Roman" w:hAnsi="Times New Roman" w:cs="Times New Roman"/>
          <w:sz w:val="24"/>
          <w:szCs w:val="24"/>
        </w:rPr>
      </w:pPr>
    </w:p>
    <w:p w14:paraId="78EB879C" w14:textId="77777777" w:rsidR="00502B89" w:rsidRDefault="00E239FA" w:rsidP="00502B89">
      <w:pPr>
        <w:rPr>
          <w:rFonts w:ascii="Times New Roman" w:hAnsi="Times New Roman" w:cs="Times New Roman"/>
          <w:sz w:val="24"/>
          <w:szCs w:val="24"/>
        </w:rPr>
      </w:pPr>
      <w:r w:rsidRPr="00FA1E90">
        <w:rPr>
          <w:rFonts w:ascii="Times New Roman" w:hAnsi="Times New Roman" w:cs="Times New Roman"/>
          <w:b/>
          <w:sz w:val="24"/>
          <w:szCs w:val="24"/>
        </w:rPr>
        <w:lastRenderedPageBreak/>
        <w:t xml:space="preserve">IC provides proposed baseline </w:t>
      </w:r>
      <w:r w:rsidR="00141E6A" w:rsidRPr="00FA1E90">
        <w:rPr>
          <w:rFonts w:ascii="Times New Roman" w:hAnsi="Times New Roman" w:cs="Times New Roman"/>
          <w:b/>
          <w:sz w:val="24"/>
          <w:szCs w:val="24"/>
        </w:rPr>
        <w:t xml:space="preserve">and efficient equipment </w:t>
      </w:r>
      <w:r w:rsidRPr="00FA1E90">
        <w:rPr>
          <w:rFonts w:ascii="Times New Roman" w:hAnsi="Times New Roman" w:cs="Times New Roman"/>
          <w:b/>
          <w:sz w:val="24"/>
          <w:szCs w:val="24"/>
        </w:rPr>
        <w:t>calculation and back-up</w:t>
      </w:r>
      <w:r w:rsidRPr="00FA1E90">
        <w:rPr>
          <w:rFonts w:ascii="Times New Roman" w:hAnsi="Times New Roman" w:cs="Times New Roman"/>
          <w:sz w:val="24"/>
          <w:szCs w:val="24"/>
        </w:rPr>
        <w:t xml:space="preserve">. </w:t>
      </w:r>
    </w:p>
    <w:p w14:paraId="7F0DA0F9" w14:textId="60D265A2" w:rsidR="00902BDF" w:rsidRDefault="00E239FA" w:rsidP="00502B89">
      <w:pPr>
        <w:ind w:firstLine="720"/>
        <w:rPr>
          <w:rFonts w:ascii="Times New Roman" w:hAnsi="Times New Roman" w:cs="Times New Roman"/>
          <w:sz w:val="24"/>
          <w:szCs w:val="24"/>
        </w:rPr>
      </w:pPr>
      <w:r w:rsidRPr="00FA1E90">
        <w:rPr>
          <w:rFonts w:ascii="Times New Roman" w:hAnsi="Times New Roman" w:cs="Times New Roman"/>
          <w:sz w:val="24"/>
          <w:szCs w:val="24"/>
        </w:rPr>
        <w:t xml:space="preserve">At the time of application, the IC provides </w:t>
      </w:r>
      <w:r w:rsidR="0055243A">
        <w:rPr>
          <w:rFonts w:ascii="Times New Roman" w:hAnsi="Times New Roman" w:cs="Times New Roman"/>
          <w:sz w:val="24"/>
          <w:szCs w:val="24"/>
        </w:rPr>
        <w:t xml:space="preserve">the evaluator its </w:t>
      </w:r>
      <w:r w:rsidRPr="00FA1E90">
        <w:rPr>
          <w:rFonts w:ascii="Times New Roman" w:hAnsi="Times New Roman" w:cs="Times New Roman"/>
          <w:sz w:val="24"/>
          <w:szCs w:val="24"/>
        </w:rPr>
        <w:t xml:space="preserve">proposed baseline </w:t>
      </w:r>
      <w:r w:rsidR="00141E6A" w:rsidRPr="00FA1E90">
        <w:rPr>
          <w:rFonts w:ascii="Times New Roman" w:hAnsi="Times New Roman" w:cs="Times New Roman"/>
          <w:sz w:val="24"/>
          <w:szCs w:val="24"/>
        </w:rPr>
        <w:t xml:space="preserve">and efficient equipment </w:t>
      </w:r>
      <w:r w:rsidRPr="00FA1E90">
        <w:rPr>
          <w:rFonts w:ascii="Times New Roman" w:hAnsi="Times New Roman" w:cs="Times New Roman"/>
          <w:sz w:val="24"/>
          <w:szCs w:val="24"/>
        </w:rPr>
        <w:t xml:space="preserve">calculations as well as the key underlying project files and documentation. </w:t>
      </w:r>
      <w:r w:rsidR="008A24E8" w:rsidRPr="00FA1E90">
        <w:rPr>
          <w:rFonts w:ascii="Times New Roman" w:hAnsi="Times New Roman" w:cs="Times New Roman"/>
          <w:sz w:val="24"/>
          <w:szCs w:val="24"/>
        </w:rPr>
        <w:t xml:space="preserve">This enables </w:t>
      </w:r>
      <w:r w:rsidR="00B4204C">
        <w:rPr>
          <w:rFonts w:ascii="Times New Roman" w:hAnsi="Times New Roman" w:cs="Times New Roman"/>
          <w:sz w:val="24"/>
          <w:szCs w:val="24"/>
        </w:rPr>
        <w:t xml:space="preserve">the evaluator </w:t>
      </w:r>
      <w:r w:rsidR="008A24E8" w:rsidRPr="00FA1E90">
        <w:rPr>
          <w:rFonts w:ascii="Times New Roman" w:hAnsi="Times New Roman" w:cs="Times New Roman"/>
          <w:sz w:val="24"/>
          <w:szCs w:val="24"/>
        </w:rPr>
        <w:t>to develop an early understanding of the project and to begin discussions with the IC regarding their key assumptions and calculations.</w:t>
      </w:r>
    </w:p>
    <w:p w14:paraId="02051B0E" w14:textId="77777777" w:rsidR="00502B89" w:rsidRPr="00FA1E90" w:rsidRDefault="00502B89" w:rsidP="00502B89">
      <w:pPr>
        <w:ind w:firstLine="720"/>
        <w:rPr>
          <w:rFonts w:ascii="Times New Roman" w:hAnsi="Times New Roman" w:cs="Times New Roman"/>
          <w:sz w:val="24"/>
          <w:szCs w:val="24"/>
        </w:rPr>
      </w:pPr>
    </w:p>
    <w:p w14:paraId="69432D4C" w14:textId="77777777" w:rsidR="00502B89" w:rsidRDefault="00927221" w:rsidP="00502B89">
      <w:pPr>
        <w:rPr>
          <w:rFonts w:ascii="Times New Roman" w:hAnsi="Times New Roman" w:cs="Times New Roman"/>
          <w:sz w:val="24"/>
          <w:szCs w:val="24"/>
        </w:rPr>
      </w:pPr>
      <w:r w:rsidRPr="00FA1E90">
        <w:rPr>
          <w:rFonts w:ascii="Times New Roman" w:hAnsi="Times New Roman" w:cs="Times New Roman"/>
          <w:b/>
          <w:sz w:val="24"/>
          <w:szCs w:val="24"/>
        </w:rPr>
        <w:t>Monthly</w:t>
      </w:r>
      <w:r w:rsidR="00E239FA" w:rsidRPr="00FA1E90">
        <w:rPr>
          <w:rFonts w:ascii="Times New Roman" w:hAnsi="Times New Roman" w:cs="Times New Roman"/>
          <w:b/>
          <w:sz w:val="24"/>
          <w:szCs w:val="24"/>
        </w:rPr>
        <w:t xml:space="preserve"> </w:t>
      </w:r>
      <w:r w:rsidRPr="00FA1E90">
        <w:rPr>
          <w:rFonts w:ascii="Times New Roman" w:hAnsi="Times New Roman" w:cs="Times New Roman"/>
          <w:b/>
          <w:sz w:val="24"/>
          <w:szCs w:val="24"/>
        </w:rPr>
        <w:t>t</w:t>
      </w:r>
      <w:r w:rsidR="00E239FA" w:rsidRPr="00FA1E90">
        <w:rPr>
          <w:rFonts w:ascii="Times New Roman" w:hAnsi="Times New Roman" w:cs="Times New Roman"/>
          <w:b/>
          <w:sz w:val="24"/>
          <w:szCs w:val="24"/>
        </w:rPr>
        <w:t xml:space="preserve">eam </w:t>
      </w:r>
      <w:r w:rsidRPr="00FA1E90">
        <w:rPr>
          <w:rFonts w:ascii="Times New Roman" w:hAnsi="Times New Roman" w:cs="Times New Roman"/>
          <w:b/>
          <w:sz w:val="24"/>
          <w:szCs w:val="24"/>
        </w:rPr>
        <w:t>c</w:t>
      </w:r>
      <w:r w:rsidR="00E239FA" w:rsidRPr="00FA1E90">
        <w:rPr>
          <w:rFonts w:ascii="Times New Roman" w:hAnsi="Times New Roman" w:cs="Times New Roman"/>
          <w:b/>
          <w:sz w:val="24"/>
          <w:szCs w:val="24"/>
        </w:rPr>
        <w:t>alls</w:t>
      </w:r>
      <w:r w:rsidRPr="00FA1E90">
        <w:rPr>
          <w:rFonts w:ascii="Times New Roman" w:hAnsi="Times New Roman" w:cs="Times New Roman"/>
          <w:b/>
          <w:sz w:val="24"/>
          <w:szCs w:val="24"/>
        </w:rPr>
        <w:t xml:space="preserve"> and enhanced on-going communication</w:t>
      </w:r>
      <w:r w:rsidR="00E239FA" w:rsidRPr="00FA1E90">
        <w:rPr>
          <w:rFonts w:ascii="Times New Roman" w:hAnsi="Times New Roman" w:cs="Times New Roman"/>
          <w:sz w:val="24"/>
          <w:szCs w:val="24"/>
        </w:rPr>
        <w:t xml:space="preserve">. </w:t>
      </w:r>
    </w:p>
    <w:p w14:paraId="48E576A7" w14:textId="512DA356" w:rsidR="00DB1F17" w:rsidRPr="00FA1E90" w:rsidRDefault="008A24E8" w:rsidP="00502B89">
      <w:pPr>
        <w:ind w:firstLine="720"/>
        <w:rPr>
          <w:rFonts w:ascii="Times New Roman" w:hAnsi="Times New Roman" w:cs="Times New Roman"/>
          <w:sz w:val="24"/>
          <w:szCs w:val="24"/>
        </w:rPr>
      </w:pPr>
      <w:r w:rsidRPr="00FA1E90">
        <w:rPr>
          <w:rFonts w:ascii="Times New Roman" w:hAnsi="Times New Roman" w:cs="Times New Roman"/>
          <w:sz w:val="24"/>
          <w:szCs w:val="24"/>
        </w:rPr>
        <w:t xml:space="preserve">In addition to receiving </w:t>
      </w:r>
      <w:r w:rsidR="00927221" w:rsidRPr="00FA1E90">
        <w:rPr>
          <w:rFonts w:ascii="Times New Roman" w:hAnsi="Times New Roman" w:cs="Times New Roman"/>
          <w:sz w:val="24"/>
          <w:szCs w:val="24"/>
        </w:rPr>
        <w:t>t</w:t>
      </w:r>
      <w:r w:rsidRPr="00FA1E90">
        <w:rPr>
          <w:rFonts w:ascii="Times New Roman" w:hAnsi="Times New Roman" w:cs="Times New Roman"/>
          <w:sz w:val="24"/>
          <w:szCs w:val="24"/>
        </w:rPr>
        <w:t xml:space="preserve">he project files earlier, the evaluator set up </w:t>
      </w:r>
      <w:r w:rsidR="00945415">
        <w:rPr>
          <w:rFonts w:ascii="Times New Roman" w:hAnsi="Times New Roman" w:cs="Times New Roman"/>
          <w:sz w:val="24"/>
          <w:szCs w:val="24"/>
        </w:rPr>
        <w:t>monthly</w:t>
      </w:r>
      <w:r w:rsidR="00945415" w:rsidRPr="00FA1E90">
        <w:rPr>
          <w:rFonts w:ascii="Times New Roman" w:hAnsi="Times New Roman" w:cs="Times New Roman"/>
          <w:sz w:val="24"/>
          <w:szCs w:val="24"/>
        </w:rPr>
        <w:t xml:space="preserve"> </w:t>
      </w:r>
      <w:r w:rsidRPr="00FA1E90">
        <w:rPr>
          <w:rFonts w:ascii="Times New Roman" w:hAnsi="Times New Roman" w:cs="Times New Roman"/>
          <w:sz w:val="24"/>
          <w:szCs w:val="24"/>
        </w:rPr>
        <w:t xml:space="preserve">calls for the team to discuss the status of the projects being reviewed and </w:t>
      </w:r>
      <w:r w:rsidR="00DB1F17" w:rsidRPr="00FA1E90">
        <w:rPr>
          <w:rFonts w:ascii="Times New Roman" w:hAnsi="Times New Roman" w:cs="Times New Roman"/>
          <w:sz w:val="24"/>
          <w:szCs w:val="24"/>
        </w:rPr>
        <w:t>clarify assumptions on both sides</w:t>
      </w:r>
      <w:r w:rsidRPr="00FA1E90">
        <w:rPr>
          <w:rFonts w:ascii="Times New Roman" w:hAnsi="Times New Roman" w:cs="Times New Roman"/>
          <w:sz w:val="24"/>
          <w:szCs w:val="24"/>
        </w:rPr>
        <w:t>. These calls have been very effective in opening up communication on all sides</w:t>
      </w:r>
      <w:r w:rsidR="007A171D" w:rsidRPr="00FA1E90">
        <w:rPr>
          <w:rFonts w:ascii="Times New Roman" w:hAnsi="Times New Roman" w:cs="Times New Roman"/>
          <w:sz w:val="24"/>
          <w:szCs w:val="24"/>
        </w:rPr>
        <w:t xml:space="preserve"> and appear to have had beneficial effects on better aligning the ICs project savings estimates of projects outside the top 10 being reviewed early.</w:t>
      </w:r>
    </w:p>
    <w:p w14:paraId="2605CACC" w14:textId="3070D61A" w:rsidR="00927221" w:rsidRPr="00FA1E90" w:rsidRDefault="00927221" w:rsidP="00A0280D">
      <w:pPr>
        <w:ind w:firstLine="720"/>
        <w:rPr>
          <w:rFonts w:ascii="Times New Roman" w:hAnsi="Times New Roman" w:cs="Times New Roman"/>
          <w:sz w:val="24"/>
          <w:szCs w:val="24"/>
        </w:rPr>
      </w:pPr>
      <w:r w:rsidRPr="00FA1E90">
        <w:rPr>
          <w:rFonts w:ascii="Times New Roman" w:hAnsi="Times New Roman" w:cs="Times New Roman"/>
          <w:sz w:val="24"/>
          <w:szCs w:val="24"/>
        </w:rPr>
        <w:t xml:space="preserve">The monthly calls served a multitude of purposes. On these calls the IC identified projects that were ready for review by the evaluator, the evaluator provided a status update on the projects undergoing their review, and allowed the IC and the evaluator </w:t>
      </w:r>
      <w:r w:rsidR="005A157D">
        <w:rPr>
          <w:rFonts w:ascii="Times New Roman" w:hAnsi="Times New Roman" w:cs="Times New Roman"/>
          <w:sz w:val="24"/>
          <w:szCs w:val="24"/>
        </w:rPr>
        <w:t xml:space="preserve">to </w:t>
      </w:r>
      <w:r w:rsidRPr="00FA1E90">
        <w:rPr>
          <w:rFonts w:ascii="Times New Roman" w:hAnsi="Times New Roman" w:cs="Times New Roman"/>
          <w:sz w:val="24"/>
          <w:szCs w:val="24"/>
        </w:rPr>
        <w:t xml:space="preserve">discuss any issues that needed to be addressed. Email and telephone communication between </w:t>
      </w:r>
      <w:r w:rsidR="0055243A">
        <w:rPr>
          <w:rFonts w:ascii="Times New Roman" w:hAnsi="Times New Roman" w:cs="Times New Roman"/>
          <w:sz w:val="24"/>
          <w:szCs w:val="24"/>
        </w:rPr>
        <w:t xml:space="preserve">the </w:t>
      </w:r>
      <w:r w:rsidRPr="00FA1E90">
        <w:rPr>
          <w:rFonts w:ascii="Times New Roman" w:hAnsi="Times New Roman" w:cs="Times New Roman"/>
          <w:sz w:val="24"/>
          <w:szCs w:val="24"/>
        </w:rPr>
        <w:t xml:space="preserve">lead IC </w:t>
      </w:r>
      <w:r w:rsidR="009962BA">
        <w:rPr>
          <w:rFonts w:ascii="Times New Roman" w:hAnsi="Times New Roman" w:cs="Times New Roman"/>
          <w:sz w:val="24"/>
          <w:szCs w:val="24"/>
        </w:rPr>
        <w:t>(program manager)</w:t>
      </w:r>
      <w:r w:rsidR="00CB1473">
        <w:rPr>
          <w:rFonts w:ascii="Times New Roman" w:hAnsi="Times New Roman" w:cs="Times New Roman"/>
          <w:sz w:val="24"/>
          <w:szCs w:val="24"/>
        </w:rPr>
        <w:t xml:space="preserve"> and IC engineering team</w:t>
      </w:r>
      <w:r w:rsidR="009962BA">
        <w:rPr>
          <w:rFonts w:ascii="Times New Roman" w:hAnsi="Times New Roman" w:cs="Times New Roman"/>
          <w:sz w:val="24"/>
          <w:szCs w:val="24"/>
        </w:rPr>
        <w:t xml:space="preserve"> </w:t>
      </w:r>
      <w:r w:rsidRPr="00FA1E90">
        <w:rPr>
          <w:rFonts w:ascii="Times New Roman" w:hAnsi="Times New Roman" w:cs="Times New Roman"/>
          <w:sz w:val="24"/>
          <w:szCs w:val="24"/>
        </w:rPr>
        <w:t xml:space="preserve">and evaluation engineers also </w:t>
      </w:r>
      <w:r w:rsidR="0055243A">
        <w:rPr>
          <w:rFonts w:ascii="Times New Roman" w:hAnsi="Times New Roman" w:cs="Times New Roman"/>
          <w:sz w:val="24"/>
          <w:szCs w:val="24"/>
        </w:rPr>
        <w:t xml:space="preserve">enhanced </w:t>
      </w:r>
      <w:r w:rsidRPr="00FA1E90">
        <w:rPr>
          <w:rFonts w:ascii="Times New Roman" w:hAnsi="Times New Roman" w:cs="Times New Roman"/>
          <w:sz w:val="24"/>
          <w:szCs w:val="24"/>
        </w:rPr>
        <w:t xml:space="preserve">the evaluation process. </w:t>
      </w:r>
    </w:p>
    <w:p w14:paraId="4741BDB0" w14:textId="77777777" w:rsidR="00927221" w:rsidRDefault="00927221" w:rsidP="00A0280D">
      <w:pPr>
        <w:ind w:firstLine="720"/>
        <w:rPr>
          <w:rFonts w:ascii="Times New Roman" w:hAnsi="Times New Roman" w:cs="Times New Roman"/>
          <w:sz w:val="24"/>
          <w:szCs w:val="24"/>
        </w:rPr>
      </w:pPr>
      <w:r w:rsidRPr="00FA1E90">
        <w:rPr>
          <w:rFonts w:ascii="Times New Roman" w:hAnsi="Times New Roman" w:cs="Times New Roman"/>
          <w:sz w:val="24"/>
          <w:szCs w:val="24"/>
        </w:rPr>
        <w:t>Evaluator comments and questions on projects were documented in an early review tracker. This spreadsheet workbook provided detailed comments on the project baseline and savings estimation methodology and documented any concerns with other project documentation, such as incentive levels, application forms, and the like. The implementation contractor then either documented their response to the evaluator’s comment or question</w:t>
      </w:r>
      <w:r w:rsidR="00945415">
        <w:rPr>
          <w:rFonts w:ascii="Times New Roman" w:hAnsi="Times New Roman" w:cs="Times New Roman"/>
          <w:sz w:val="24"/>
          <w:szCs w:val="24"/>
        </w:rPr>
        <w:t>,</w:t>
      </w:r>
      <w:r w:rsidRPr="00FA1E90">
        <w:rPr>
          <w:rFonts w:ascii="Times New Roman" w:hAnsi="Times New Roman" w:cs="Times New Roman"/>
          <w:sz w:val="24"/>
          <w:szCs w:val="24"/>
        </w:rPr>
        <w:t xml:space="preserve"> or implemented the recommended change to the methodology. </w:t>
      </w:r>
    </w:p>
    <w:p w14:paraId="25A9E6B9" w14:textId="77777777" w:rsidR="00502B89" w:rsidRPr="00FA1E90" w:rsidRDefault="00502B89" w:rsidP="00A0280D">
      <w:pPr>
        <w:ind w:firstLine="720"/>
        <w:rPr>
          <w:rFonts w:ascii="Times New Roman" w:hAnsi="Times New Roman" w:cs="Times New Roman"/>
          <w:sz w:val="24"/>
          <w:szCs w:val="24"/>
        </w:rPr>
      </w:pPr>
    </w:p>
    <w:p w14:paraId="5EDFF534" w14:textId="77777777" w:rsidR="00502B89" w:rsidRDefault="007A171D" w:rsidP="00502B89">
      <w:pPr>
        <w:rPr>
          <w:rFonts w:ascii="Times New Roman" w:hAnsi="Times New Roman" w:cs="Times New Roman"/>
          <w:sz w:val="24"/>
          <w:szCs w:val="24"/>
        </w:rPr>
      </w:pPr>
      <w:r w:rsidRPr="00FA1E90">
        <w:rPr>
          <w:rFonts w:ascii="Times New Roman" w:hAnsi="Times New Roman" w:cs="Times New Roman"/>
          <w:b/>
          <w:sz w:val="24"/>
          <w:szCs w:val="24"/>
        </w:rPr>
        <w:t xml:space="preserve">Evaluator </w:t>
      </w:r>
      <w:r w:rsidR="00B55656" w:rsidRPr="00FA1E90">
        <w:rPr>
          <w:rFonts w:ascii="Times New Roman" w:hAnsi="Times New Roman" w:cs="Times New Roman"/>
          <w:b/>
          <w:sz w:val="24"/>
          <w:szCs w:val="24"/>
        </w:rPr>
        <w:t>provides recommended baseline approach to utility/IC</w:t>
      </w:r>
      <w:r w:rsidRPr="00FA1E90">
        <w:rPr>
          <w:rFonts w:ascii="Times New Roman" w:hAnsi="Times New Roman" w:cs="Times New Roman"/>
          <w:b/>
          <w:sz w:val="24"/>
          <w:szCs w:val="24"/>
        </w:rPr>
        <w:t xml:space="preserve"> within two weeks</w:t>
      </w:r>
      <w:r w:rsidRPr="00FA1E90">
        <w:rPr>
          <w:rFonts w:ascii="Times New Roman" w:hAnsi="Times New Roman" w:cs="Times New Roman"/>
          <w:sz w:val="24"/>
          <w:szCs w:val="24"/>
        </w:rPr>
        <w:t xml:space="preserve">. </w:t>
      </w:r>
    </w:p>
    <w:p w14:paraId="21047109" w14:textId="1147855D" w:rsidR="00502B89" w:rsidRDefault="007A171D" w:rsidP="0068116D">
      <w:pPr>
        <w:ind w:firstLine="720"/>
        <w:rPr>
          <w:rFonts w:ascii="Times New Roman" w:hAnsi="Times New Roman" w:cs="Times New Roman"/>
          <w:sz w:val="24"/>
          <w:szCs w:val="24"/>
        </w:rPr>
      </w:pPr>
      <w:r w:rsidRPr="00FA1E90">
        <w:rPr>
          <w:rFonts w:ascii="Times New Roman" w:hAnsi="Times New Roman" w:cs="Times New Roman"/>
          <w:sz w:val="24"/>
          <w:szCs w:val="24"/>
        </w:rPr>
        <w:t>A key concern about reviewing the project at the time of application is not to slow down project approval for the IC and negatively impact program savings and costs</w:t>
      </w:r>
      <w:r w:rsidR="00962FE4">
        <w:rPr>
          <w:rFonts w:ascii="Times New Roman" w:hAnsi="Times New Roman" w:cs="Times New Roman"/>
          <w:sz w:val="24"/>
          <w:szCs w:val="24"/>
        </w:rPr>
        <w:t xml:space="preserve"> as well as the customer and contractor experience, which is highly valued by</w:t>
      </w:r>
      <w:r w:rsidR="0086673B">
        <w:rPr>
          <w:rFonts w:ascii="Times New Roman" w:hAnsi="Times New Roman" w:cs="Times New Roman"/>
          <w:sz w:val="24"/>
          <w:szCs w:val="24"/>
        </w:rPr>
        <w:t xml:space="preserve"> the utility</w:t>
      </w:r>
      <w:r w:rsidRPr="00FA1E90">
        <w:rPr>
          <w:rFonts w:ascii="Times New Roman" w:hAnsi="Times New Roman" w:cs="Times New Roman"/>
          <w:sz w:val="24"/>
          <w:szCs w:val="24"/>
        </w:rPr>
        <w:t>. To mitigate this risk, the team agreed that the evaluator needed to provide a recommended baseline approach</w:t>
      </w:r>
      <w:r w:rsidR="00927221" w:rsidRPr="00FA1E90">
        <w:rPr>
          <w:rFonts w:ascii="Times New Roman" w:hAnsi="Times New Roman" w:cs="Times New Roman"/>
          <w:sz w:val="24"/>
          <w:szCs w:val="24"/>
        </w:rPr>
        <w:t xml:space="preserve"> and savings estimation methodology</w:t>
      </w:r>
      <w:r w:rsidRPr="00FA1E90">
        <w:rPr>
          <w:rFonts w:ascii="Times New Roman" w:hAnsi="Times New Roman" w:cs="Times New Roman"/>
          <w:sz w:val="24"/>
          <w:szCs w:val="24"/>
        </w:rPr>
        <w:t xml:space="preserve"> to the IC no later than two weeks after receiving the full project file</w:t>
      </w:r>
      <w:r w:rsidR="0055243A">
        <w:rPr>
          <w:rFonts w:ascii="Times New Roman" w:hAnsi="Times New Roman" w:cs="Times New Roman"/>
          <w:sz w:val="24"/>
          <w:szCs w:val="24"/>
        </w:rPr>
        <w:t xml:space="preserve">, which </w:t>
      </w:r>
      <w:r w:rsidR="00927221" w:rsidRPr="00FA1E90">
        <w:rPr>
          <w:rFonts w:ascii="Times New Roman" w:hAnsi="Times New Roman" w:cs="Times New Roman"/>
          <w:sz w:val="24"/>
          <w:szCs w:val="24"/>
        </w:rPr>
        <w:t>were documented in an early review project tracker.</w:t>
      </w:r>
      <w:r w:rsidR="00D44391" w:rsidRPr="00D44391">
        <w:rPr>
          <w:color w:val="FF0000"/>
        </w:rPr>
        <w:t xml:space="preserve"> </w:t>
      </w:r>
      <w:r w:rsidR="00D44391" w:rsidRPr="00A0280D">
        <w:rPr>
          <w:rFonts w:ascii="Times New Roman" w:hAnsi="Times New Roman" w:cs="Times New Roman"/>
          <w:sz w:val="24"/>
          <w:szCs w:val="24"/>
        </w:rPr>
        <w:t>Upon receiving recommendations from the evaluator, the IC reviews the approach and may set up a meeting with the evaluator to discuss it.  If in agreement with the recommendations, the IC incorporates it into a secondary review, including updating baseline estimates and pertinent project conditions.</w:t>
      </w:r>
    </w:p>
    <w:p w14:paraId="2DED196C" w14:textId="77777777" w:rsidR="00502B89" w:rsidRDefault="00502B89" w:rsidP="00502B89">
      <w:pPr>
        <w:rPr>
          <w:rFonts w:ascii="Times New Roman" w:hAnsi="Times New Roman" w:cs="Times New Roman"/>
          <w:b/>
          <w:sz w:val="24"/>
          <w:szCs w:val="24"/>
        </w:rPr>
      </w:pPr>
    </w:p>
    <w:p w14:paraId="4271244F" w14:textId="77777777" w:rsidR="00502B89" w:rsidRDefault="007A171D" w:rsidP="00502B89">
      <w:pPr>
        <w:rPr>
          <w:rFonts w:ascii="Times New Roman" w:hAnsi="Times New Roman" w:cs="Times New Roman"/>
          <w:sz w:val="24"/>
          <w:szCs w:val="24"/>
        </w:rPr>
      </w:pPr>
      <w:r w:rsidRPr="00FA1E90">
        <w:rPr>
          <w:rFonts w:ascii="Times New Roman" w:hAnsi="Times New Roman" w:cs="Times New Roman"/>
          <w:b/>
          <w:sz w:val="24"/>
          <w:szCs w:val="24"/>
        </w:rPr>
        <w:t>Final verification conducted upon project completion as usual.</w:t>
      </w:r>
      <w:r w:rsidRPr="00FA1E90">
        <w:rPr>
          <w:rFonts w:ascii="Times New Roman" w:hAnsi="Times New Roman" w:cs="Times New Roman"/>
          <w:sz w:val="24"/>
          <w:szCs w:val="24"/>
        </w:rPr>
        <w:t xml:space="preserve"> </w:t>
      </w:r>
    </w:p>
    <w:p w14:paraId="4B28E564" w14:textId="44D8ED71" w:rsidR="00B55656" w:rsidRDefault="00B55656" w:rsidP="00502B89">
      <w:pPr>
        <w:ind w:firstLine="720"/>
        <w:rPr>
          <w:rFonts w:ascii="Times New Roman" w:hAnsi="Times New Roman" w:cs="Times New Roman"/>
          <w:sz w:val="24"/>
          <w:szCs w:val="24"/>
        </w:rPr>
      </w:pPr>
      <w:r w:rsidRPr="00FA1E90">
        <w:rPr>
          <w:rFonts w:ascii="Times New Roman" w:hAnsi="Times New Roman" w:cs="Times New Roman"/>
          <w:sz w:val="24"/>
          <w:szCs w:val="24"/>
        </w:rPr>
        <w:t>After proje</w:t>
      </w:r>
      <w:r w:rsidR="0068116D">
        <w:rPr>
          <w:rFonts w:ascii="Times New Roman" w:hAnsi="Times New Roman" w:cs="Times New Roman"/>
          <w:sz w:val="24"/>
          <w:szCs w:val="24"/>
        </w:rPr>
        <w:t xml:space="preserve">ct completion, </w:t>
      </w:r>
      <w:r w:rsidR="0055243A">
        <w:rPr>
          <w:rFonts w:ascii="Times New Roman" w:hAnsi="Times New Roman" w:cs="Times New Roman"/>
          <w:sz w:val="24"/>
          <w:szCs w:val="24"/>
        </w:rPr>
        <w:t xml:space="preserve">the evaluator </w:t>
      </w:r>
      <w:r w:rsidR="0068116D">
        <w:rPr>
          <w:rFonts w:ascii="Times New Roman" w:hAnsi="Times New Roman" w:cs="Times New Roman"/>
          <w:sz w:val="24"/>
          <w:szCs w:val="24"/>
        </w:rPr>
        <w:t>conducted</w:t>
      </w:r>
      <w:r w:rsidRPr="00FA1E90">
        <w:rPr>
          <w:rFonts w:ascii="Times New Roman" w:hAnsi="Times New Roman" w:cs="Times New Roman"/>
          <w:sz w:val="24"/>
          <w:szCs w:val="24"/>
        </w:rPr>
        <w:t xml:space="preserve"> </w:t>
      </w:r>
      <w:r w:rsidR="007A171D" w:rsidRPr="00FA1E90">
        <w:rPr>
          <w:rFonts w:ascii="Times New Roman" w:hAnsi="Times New Roman" w:cs="Times New Roman"/>
          <w:sz w:val="24"/>
          <w:szCs w:val="24"/>
        </w:rPr>
        <w:t xml:space="preserve">the </w:t>
      </w:r>
      <w:r w:rsidRPr="00FA1E90">
        <w:rPr>
          <w:rFonts w:ascii="Times New Roman" w:hAnsi="Times New Roman" w:cs="Times New Roman"/>
          <w:sz w:val="24"/>
          <w:szCs w:val="24"/>
        </w:rPr>
        <w:t xml:space="preserve">final </w:t>
      </w:r>
      <w:r w:rsidR="007A171D" w:rsidRPr="00FA1E90">
        <w:rPr>
          <w:rFonts w:ascii="Times New Roman" w:hAnsi="Times New Roman" w:cs="Times New Roman"/>
          <w:sz w:val="24"/>
          <w:szCs w:val="24"/>
        </w:rPr>
        <w:t xml:space="preserve">project </w:t>
      </w:r>
      <w:r w:rsidRPr="00FA1E90">
        <w:rPr>
          <w:rFonts w:ascii="Times New Roman" w:hAnsi="Times New Roman" w:cs="Times New Roman"/>
          <w:sz w:val="24"/>
          <w:szCs w:val="24"/>
        </w:rPr>
        <w:t>verification</w:t>
      </w:r>
      <w:r w:rsidR="007A171D" w:rsidRPr="00FA1E90">
        <w:rPr>
          <w:rFonts w:ascii="Times New Roman" w:hAnsi="Times New Roman" w:cs="Times New Roman"/>
          <w:sz w:val="24"/>
          <w:szCs w:val="24"/>
        </w:rPr>
        <w:t xml:space="preserve">. This final verification can be limited to only a </w:t>
      </w:r>
      <w:r w:rsidRPr="00FA1E90">
        <w:rPr>
          <w:rFonts w:ascii="Times New Roman" w:hAnsi="Times New Roman" w:cs="Times New Roman"/>
          <w:sz w:val="24"/>
          <w:szCs w:val="24"/>
        </w:rPr>
        <w:t xml:space="preserve">project file review </w:t>
      </w:r>
      <w:r w:rsidR="007A171D" w:rsidRPr="00FA1E90">
        <w:rPr>
          <w:rFonts w:ascii="Times New Roman" w:hAnsi="Times New Roman" w:cs="Times New Roman"/>
          <w:sz w:val="24"/>
          <w:szCs w:val="24"/>
        </w:rPr>
        <w:t>or may</w:t>
      </w:r>
      <w:r w:rsidRPr="00FA1E90">
        <w:rPr>
          <w:rFonts w:ascii="Times New Roman" w:hAnsi="Times New Roman" w:cs="Times New Roman"/>
          <w:sz w:val="24"/>
          <w:szCs w:val="24"/>
        </w:rPr>
        <w:t xml:space="preserve"> also </w:t>
      </w:r>
      <w:r w:rsidR="007A171D" w:rsidRPr="00FA1E90">
        <w:rPr>
          <w:rFonts w:ascii="Times New Roman" w:hAnsi="Times New Roman" w:cs="Times New Roman"/>
          <w:sz w:val="24"/>
          <w:szCs w:val="24"/>
        </w:rPr>
        <w:t xml:space="preserve">include </w:t>
      </w:r>
      <w:r w:rsidRPr="00FA1E90">
        <w:rPr>
          <w:rFonts w:ascii="Times New Roman" w:hAnsi="Times New Roman" w:cs="Times New Roman"/>
          <w:sz w:val="24"/>
          <w:szCs w:val="24"/>
        </w:rPr>
        <w:t>on-site verification</w:t>
      </w:r>
      <w:r w:rsidR="007A171D" w:rsidRPr="00FA1E90">
        <w:rPr>
          <w:rFonts w:ascii="Times New Roman" w:hAnsi="Times New Roman" w:cs="Times New Roman"/>
          <w:sz w:val="24"/>
          <w:szCs w:val="24"/>
        </w:rPr>
        <w:t>. This will depend on the final sampling approach for all projects completed in the program year.</w:t>
      </w:r>
      <w:r w:rsidR="006A10E8">
        <w:rPr>
          <w:rFonts w:ascii="Times New Roman" w:hAnsi="Times New Roman" w:cs="Times New Roman"/>
          <w:sz w:val="24"/>
          <w:szCs w:val="24"/>
        </w:rPr>
        <w:t xml:space="preserve"> </w:t>
      </w:r>
      <w:r w:rsidR="006A10E8" w:rsidRPr="00A0280D">
        <w:rPr>
          <w:rFonts w:ascii="Times New Roman" w:hAnsi="Times New Roman" w:cs="Times New Roman"/>
          <w:sz w:val="24"/>
          <w:szCs w:val="24"/>
        </w:rPr>
        <w:t xml:space="preserve">The final verification inspects for “as operated conditions” and may differ from the earlier savings estimate due to </w:t>
      </w:r>
      <w:r w:rsidR="0055243A">
        <w:rPr>
          <w:rFonts w:ascii="Times New Roman" w:hAnsi="Times New Roman" w:cs="Times New Roman"/>
          <w:sz w:val="24"/>
          <w:szCs w:val="24"/>
        </w:rPr>
        <w:t xml:space="preserve">a variety of conditions such as </w:t>
      </w:r>
      <w:r w:rsidR="006A10E8" w:rsidRPr="00A0280D">
        <w:rPr>
          <w:rFonts w:ascii="Times New Roman" w:hAnsi="Times New Roman" w:cs="Times New Roman"/>
          <w:sz w:val="24"/>
          <w:szCs w:val="24"/>
        </w:rPr>
        <w:t>changes in operating hours</w:t>
      </w:r>
      <w:r w:rsidR="0055243A">
        <w:rPr>
          <w:rFonts w:ascii="Times New Roman" w:hAnsi="Times New Roman" w:cs="Times New Roman"/>
          <w:sz w:val="24"/>
          <w:szCs w:val="24"/>
        </w:rPr>
        <w:t xml:space="preserve"> or </w:t>
      </w:r>
      <w:r w:rsidR="006A10E8" w:rsidRPr="00A0280D">
        <w:rPr>
          <w:rFonts w:ascii="Times New Roman" w:hAnsi="Times New Roman" w:cs="Times New Roman"/>
          <w:sz w:val="24"/>
          <w:szCs w:val="24"/>
        </w:rPr>
        <w:t>production</w:t>
      </w:r>
      <w:r w:rsidR="0055243A">
        <w:rPr>
          <w:rFonts w:ascii="Times New Roman" w:hAnsi="Times New Roman" w:cs="Times New Roman"/>
          <w:sz w:val="24"/>
          <w:szCs w:val="24"/>
        </w:rPr>
        <w:t>.</w:t>
      </w:r>
    </w:p>
    <w:p w14:paraId="65928C4C" w14:textId="77777777" w:rsidR="00AF1C32" w:rsidRDefault="00AF1C32" w:rsidP="00502B89">
      <w:pPr>
        <w:ind w:firstLine="720"/>
        <w:rPr>
          <w:rFonts w:ascii="Times New Roman" w:hAnsi="Times New Roman" w:cs="Times New Roman"/>
          <w:sz w:val="24"/>
          <w:szCs w:val="24"/>
        </w:rPr>
      </w:pPr>
    </w:p>
    <w:p w14:paraId="5FE3452E" w14:textId="6A433FCC" w:rsidR="00AF1C32" w:rsidRDefault="00AF1C32" w:rsidP="00AF1C32">
      <w:pPr>
        <w:rPr>
          <w:rFonts w:ascii="Times New Roman" w:hAnsi="Times New Roman" w:cs="Times New Roman"/>
          <w:sz w:val="24"/>
          <w:szCs w:val="24"/>
        </w:rPr>
      </w:pPr>
      <w:r>
        <w:rPr>
          <w:rFonts w:ascii="Times New Roman" w:hAnsi="Times New Roman" w:cs="Times New Roman"/>
          <w:b/>
          <w:sz w:val="24"/>
          <w:szCs w:val="24"/>
        </w:rPr>
        <w:t>Maintaining the integrity of the evaluation</w:t>
      </w:r>
      <w:r w:rsidR="00C730F2">
        <w:rPr>
          <w:rFonts w:ascii="Times New Roman" w:hAnsi="Times New Roman" w:cs="Times New Roman"/>
          <w:b/>
          <w:sz w:val="24"/>
          <w:szCs w:val="24"/>
        </w:rPr>
        <w:t xml:space="preserve"> process</w:t>
      </w:r>
      <w:r w:rsidRPr="00FA1E90">
        <w:rPr>
          <w:rFonts w:ascii="Times New Roman" w:hAnsi="Times New Roman" w:cs="Times New Roman"/>
          <w:b/>
          <w:sz w:val="24"/>
          <w:szCs w:val="24"/>
        </w:rPr>
        <w:t>.</w:t>
      </w:r>
      <w:r w:rsidRPr="00FA1E90">
        <w:rPr>
          <w:rFonts w:ascii="Times New Roman" w:hAnsi="Times New Roman" w:cs="Times New Roman"/>
          <w:sz w:val="24"/>
          <w:szCs w:val="24"/>
        </w:rPr>
        <w:t xml:space="preserve"> </w:t>
      </w:r>
    </w:p>
    <w:p w14:paraId="421D3639" w14:textId="6660D780" w:rsidR="00AF1C32" w:rsidRPr="00FA1E90" w:rsidRDefault="00AF1C32" w:rsidP="00502B89">
      <w:pPr>
        <w:ind w:firstLine="720"/>
        <w:rPr>
          <w:rFonts w:ascii="Times New Roman" w:hAnsi="Times New Roman" w:cs="Times New Roman"/>
          <w:sz w:val="24"/>
          <w:szCs w:val="24"/>
        </w:rPr>
      </w:pPr>
      <w:r>
        <w:rPr>
          <w:rFonts w:ascii="Times New Roman" w:hAnsi="Times New Roman" w:cs="Times New Roman"/>
          <w:sz w:val="24"/>
          <w:szCs w:val="24"/>
        </w:rPr>
        <w:t xml:space="preserve">The authors stress </w:t>
      </w:r>
      <w:r w:rsidR="00DC436C">
        <w:rPr>
          <w:rFonts w:ascii="Times New Roman" w:hAnsi="Times New Roman" w:cs="Times New Roman"/>
          <w:sz w:val="24"/>
          <w:szCs w:val="24"/>
        </w:rPr>
        <w:t>that</w:t>
      </w:r>
      <w:r>
        <w:rPr>
          <w:rFonts w:ascii="Times New Roman" w:hAnsi="Times New Roman" w:cs="Times New Roman"/>
          <w:sz w:val="24"/>
          <w:szCs w:val="24"/>
        </w:rPr>
        <w:t xml:space="preserve"> the </w:t>
      </w:r>
      <w:r w:rsidR="00CE262E">
        <w:rPr>
          <w:rFonts w:ascii="Times New Roman" w:hAnsi="Times New Roman" w:cs="Times New Roman"/>
          <w:sz w:val="24"/>
          <w:szCs w:val="24"/>
        </w:rPr>
        <w:t>integrity of the evaluation process</w:t>
      </w:r>
      <w:r w:rsidR="00DC436C">
        <w:rPr>
          <w:rFonts w:ascii="Times New Roman" w:hAnsi="Times New Roman" w:cs="Times New Roman"/>
          <w:sz w:val="24"/>
          <w:szCs w:val="24"/>
        </w:rPr>
        <w:t xml:space="preserve"> is easily maintained with this process</w:t>
      </w:r>
      <w:r w:rsidR="00CE262E">
        <w:rPr>
          <w:rFonts w:ascii="Times New Roman" w:hAnsi="Times New Roman" w:cs="Times New Roman"/>
          <w:sz w:val="24"/>
          <w:szCs w:val="24"/>
        </w:rPr>
        <w:t>.</w:t>
      </w:r>
      <w:r w:rsidR="00DC436C">
        <w:rPr>
          <w:rFonts w:ascii="Times New Roman" w:hAnsi="Times New Roman" w:cs="Times New Roman"/>
          <w:sz w:val="24"/>
          <w:szCs w:val="24"/>
        </w:rPr>
        <w:t xml:space="preserve"> Both the IC and evaluator understand that the evaluator will fully evaluate the project when it is completed and not assume it is unchanged from its application early review state.</w:t>
      </w:r>
      <w:r w:rsidR="00CE262E">
        <w:rPr>
          <w:rFonts w:ascii="Times New Roman" w:hAnsi="Times New Roman" w:cs="Times New Roman"/>
          <w:sz w:val="24"/>
          <w:szCs w:val="24"/>
        </w:rPr>
        <w:t xml:space="preserve"> </w:t>
      </w:r>
      <w:r w:rsidR="006E59EF">
        <w:rPr>
          <w:rFonts w:ascii="Times New Roman" w:hAnsi="Times New Roman" w:cs="Times New Roman"/>
          <w:sz w:val="24"/>
          <w:szCs w:val="24"/>
        </w:rPr>
        <w:t xml:space="preserve">The </w:t>
      </w:r>
      <w:r w:rsidR="007808BA">
        <w:rPr>
          <w:rFonts w:ascii="Times New Roman" w:hAnsi="Times New Roman" w:cs="Times New Roman"/>
          <w:sz w:val="24"/>
          <w:szCs w:val="24"/>
        </w:rPr>
        <w:t>e</w:t>
      </w:r>
      <w:r w:rsidR="006E59EF">
        <w:rPr>
          <w:rFonts w:ascii="Times New Roman" w:hAnsi="Times New Roman" w:cs="Times New Roman"/>
          <w:sz w:val="24"/>
          <w:szCs w:val="24"/>
        </w:rPr>
        <w:t xml:space="preserve">arly </w:t>
      </w:r>
      <w:r w:rsidR="007808BA">
        <w:rPr>
          <w:rFonts w:ascii="Times New Roman" w:hAnsi="Times New Roman" w:cs="Times New Roman"/>
          <w:sz w:val="24"/>
          <w:szCs w:val="24"/>
        </w:rPr>
        <w:t>r</w:t>
      </w:r>
      <w:r w:rsidR="006E59EF">
        <w:rPr>
          <w:rFonts w:ascii="Times New Roman" w:hAnsi="Times New Roman" w:cs="Times New Roman"/>
          <w:sz w:val="24"/>
          <w:szCs w:val="24"/>
        </w:rPr>
        <w:t xml:space="preserve">eview process </w:t>
      </w:r>
      <w:r w:rsidR="00D74C8E">
        <w:rPr>
          <w:rFonts w:ascii="Times New Roman" w:hAnsi="Times New Roman" w:cs="Times New Roman"/>
          <w:sz w:val="24"/>
          <w:szCs w:val="24"/>
        </w:rPr>
        <w:t>is designed to educate both parties: the evaluator about how the IC views the project’s baseline and savings and the IC about how the evaluator will view the baseline and estimate savings.</w:t>
      </w:r>
      <w:r w:rsidR="00CE262E">
        <w:rPr>
          <w:rFonts w:ascii="Times New Roman" w:hAnsi="Times New Roman" w:cs="Times New Roman"/>
          <w:sz w:val="24"/>
          <w:szCs w:val="24"/>
        </w:rPr>
        <w:t xml:space="preserve"> </w:t>
      </w:r>
      <w:r w:rsidR="00D74C8E">
        <w:rPr>
          <w:rFonts w:ascii="Times New Roman" w:hAnsi="Times New Roman" w:cs="Times New Roman"/>
          <w:sz w:val="24"/>
          <w:szCs w:val="24"/>
        </w:rPr>
        <w:t xml:space="preserve"> </w:t>
      </w:r>
      <w:r w:rsidR="00DC436C">
        <w:rPr>
          <w:rFonts w:ascii="Times New Roman" w:hAnsi="Times New Roman" w:cs="Times New Roman"/>
          <w:sz w:val="24"/>
          <w:szCs w:val="24"/>
        </w:rPr>
        <w:t xml:space="preserve">Both parties recognize that there are many other factors that they cannot control that may lead to a realization </w:t>
      </w:r>
      <w:r w:rsidR="00DC436C">
        <w:rPr>
          <w:rFonts w:ascii="Times New Roman" w:hAnsi="Times New Roman" w:cs="Times New Roman"/>
          <w:sz w:val="24"/>
          <w:szCs w:val="24"/>
        </w:rPr>
        <w:lastRenderedPageBreak/>
        <w:t>rate below or above 1.0; however, these early discussions address fundamental approaches and assumptions where methodological agreement can be expected.</w:t>
      </w:r>
      <w:r w:rsidR="00C730F2">
        <w:rPr>
          <w:rFonts w:ascii="Times New Roman" w:hAnsi="Times New Roman" w:cs="Times New Roman"/>
          <w:sz w:val="24"/>
          <w:szCs w:val="24"/>
        </w:rPr>
        <w:t xml:space="preserve"> </w:t>
      </w:r>
    </w:p>
    <w:p w14:paraId="6A8BED3C" w14:textId="77777777" w:rsidR="008A14E2" w:rsidRPr="00FA1E90" w:rsidRDefault="008A14E2" w:rsidP="00F21471">
      <w:pPr>
        <w:rPr>
          <w:rFonts w:ascii="Times New Roman" w:hAnsi="Times New Roman" w:cs="Times New Roman"/>
          <w:sz w:val="24"/>
          <w:szCs w:val="24"/>
        </w:rPr>
      </w:pPr>
    </w:p>
    <w:p w14:paraId="7AF51D58" w14:textId="77777777" w:rsidR="00886443" w:rsidRPr="00BF44D3" w:rsidRDefault="00886443" w:rsidP="00A0280D">
      <w:pPr>
        <w:rPr>
          <w:rFonts w:ascii="Times New Roman" w:hAnsi="Times New Roman" w:cs="Times New Roman"/>
          <w:b/>
          <w:sz w:val="28"/>
          <w:szCs w:val="28"/>
        </w:rPr>
      </w:pPr>
      <w:r w:rsidRPr="00BF44D3">
        <w:rPr>
          <w:rFonts w:ascii="Times New Roman" w:hAnsi="Times New Roman" w:cs="Times New Roman"/>
          <w:b/>
          <w:sz w:val="28"/>
          <w:szCs w:val="28"/>
        </w:rPr>
        <w:t>Improving NTGR Predictability</w:t>
      </w:r>
    </w:p>
    <w:p w14:paraId="1518F775" w14:textId="77777777" w:rsidR="008A14E2" w:rsidRPr="00BF44D3" w:rsidRDefault="008A14E2" w:rsidP="00F21471">
      <w:pPr>
        <w:rPr>
          <w:rFonts w:ascii="Times New Roman" w:hAnsi="Times New Roman" w:cs="Times New Roman"/>
          <w:b/>
          <w:sz w:val="28"/>
          <w:szCs w:val="28"/>
        </w:rPr>
      </w:pPr>
    </w:p>
    <w:p w14:paraId="2873A804" w14:textId="33E0DD97" w:rsidR="00886443" w:rsidRPr="00FA1E90" w:rsidRDefault="00886443" w:rsidP="00A0280D">
      <w:pPr>
        <w:ind w:firstLine="720"/>
        <w:rPr>
          <w:rFonts w:ascii="Times New Roman" w:hAnsi="Times New Roman" w:cs="Times New Roman"/>
          <w:sz w:val="24"/>
          <w:szCs w:val="24"/>
        </w:rPr>
      </w:pPr>
      <w:r w:rsidRPr="00FA1E90">
        <w:rPr>
          <w:rFonts w:ascii="Times New Roman" w:hAnsi="Times New Roman" w:cs="Times New Roman"/>
          <w:sz w:val="24"/>
          <w:szCs w:val="24"/>
        </w:rPr>
        <w:t xml:space="preserve">The second source of variability in net reported savings relates to differences in the ICs expectations regarding customers’ decision-making processes and ultimate free ridership levels and what the evaluator learns in their interviews. </w:t>
      </w:r>
      <w:r w:rsidR="00AC05F2">
        <w:rPr>
          <w:rFonts w:ascii="Times New Roman" w:hAnsi="Times New Roman" w:cs="Times New Roman"/>
          <w:sz w:val="24"/>
          <w:szCs w:val="24"/>
        </w:rPr>
        <w:t>T</w:t>
      </w:r>
      <w:r w:rsidRPr="00FA1E90">
        <w:rPr>
          <w:rFonts w:ascii="Times New Roman" w:hAnsi="Times New Roman" w:cs="Times New Roman"/>
          <w:sz w:val="24"/>
          <w:szCs w:val="24"/>
        </w:rPr>
        <w:t xml:space="preserve">ypical evaluation timing </w:t>
      </w:r>
      <w:r w:rsidR="00AC05F2">
        <w:rPr>
          <w:rFonts w:ascii="Times New Roman" w:hAnsi="Times New Roman" w:cs="Times New Roman"/>
          <w:sz w:val="24"/>
          <w:szCs w:val="24"/>
        </w:rPr>
        <w:t xml:space="preserve">consists </w:t>
      </w:r>
      <w:r w:rsidRPr="00FA1E90">
        <w:rPr>
          <w:rFonts w:ascii="Times New Roman" w:hAnsi="Times New Roman" w:cs="Times New Roman"/>
          <w:sz w:val="24"/>
          <w:szCs w:val="24"/>
        </w:rPr>
        <w:t>of waiting until the end of the program year to speak to participants</w:t>
      </w:r>
      <w:r w:rsidR="00AC05F2">
        <w:rPr>
          <w:rFonts w:ascii="Times New Roman" w:hAnsi="Times New Roman" w:cs="Times New Roman"/>
          <w:sz w:val="24"/>
          <w:szCs w:val="24"/>
        </w:rPr>
        <w:t>.</w:t>
      </w:r>
      <w:r w:rsidRPr="00FA1E90">
        <w:rPr>
          <w:rFonts w:ascii="Times New Roman" w:hAnsi="Times New Roman" w:cs="Times New Roman"/>
          <w:sz w:val="24"/>
          <w:szCs w:val="24"/>
        </w:rPr>
        <w:t xml:space="preserve"> </w:t>
      </w:r>
      <w:r w:rsidR="00AC05F2">
        <w:rPr>
          <w:rFonts w:ascii="Times New Roman" w:hAnsi="Times New Roman" w:cs="Times New Roman"/>
          <w:sz w:val="24"/>
          <w:szCs w:val="24"/>
        </w:rPr>
        <w:t>The</w:t>
      </w:r>
      <w:r w:rsidR="00AC05F2" w:rsidRPr="00FA1E90">
        <w:rPr>
          <w:rFonts w:ascii="Times New Roman" w:hAnsi="Times New Roman" w:cs="Times New Roman"/>
          <w:sz w:val="24"/>
          <w:szCs w:val="24"/>
        </w:rPr>
        <w:t xml:space="preserve"> </w:t>
      </w:r>
      <w:r w:rsidRPr="00FA1E90">
        <w:rPr>
          <w:rFonts w:ascii="Times New Roman" w:hAnsi="Times New Roman" w:cs="Times New Roman"/>
          <w:sz w:val="24"/>
          <w:szCs w:val="24"/>
        </w:rPr>
        <w:t xml:space="preserve">lag time from when the IC works with the participant </w:t>
      </w:r>
      <w:r w:rsidR="002E7509">
        <w:rPr>
          <w:rFonts w:ascii="Times New Roman" w:hAnsi="Times New Roman" w:cs="Times New Roman"/>
          <w:sz w:val="24"/>
          <w:szCs w:val="24"/>
        </w:rPr>
        <w:t>to</w:t>
      </w:r>
      <w:r w:rsidR="002E7509" w:rsidRPr="00FA1E90">
        <w:rPr>
          <w:rFonts w:ascii="Times New Roman" w:hAnsi="Times New Roman" w:cs="Times New Roman"/>
          <w:sz w:val="24"/>
          <w:szCs w:val="24"/>
        </w:rPr>
        <w:t xml:space="preserve"> </w:t>
      </w:r>
      <w:r w:rsidRPr="00FA1E90">
        <w:rPr>
          <w:rFonts w:ascii="Times New Roman" w:hAnsi="Times New Roman" w:cs="Times New Roman"/>
          <w:sz w:val="24"/>
          <w:szCs w:val="24"/>
        </w:rPr>
        <w:t>when the evaluator conducts the interviews</w:t>
      </w:r>
      <w:r w:rsidR="002E7509">
        <w:rPr>
          <w:rFonts w:ascii="Times New Roman" w:hAnsi="Times New Roman" w:cs="Times New Roman"/>
          <w:sz w:val="24"/>
          <w:szCs w:val="24"/>
        </w:rPr>
        <w:t xml:space="preserve"> creates a source of variability</w:t>
      </w:r>
      <w:r w:rsidRPr="00FA1E90">
        <w:rPr>
          <w:rFonts w:ascii="Times New Roman" w:hAnsi="Times New Roman" w:cs="Times New Roman"/>
          <w:sz w:val="24"/>
          <w:szCs w:val="24"/>
        </w:rPr>
        <w:t>.  During this time, the individual most knowledgeable about the project may have left the company or position</w:t>
      </w:r>
      <w:r w:rsidR="00945415">
        <w:rPr>
          <w:rFonts w:ascii="Times New Roman" w:hAnsi="Times New Roman" w:cs="Times New Roman"/>
          <w:sz w:val="24"/>
          <w:szCs w:val="24"/>
        </w:rPr>
        <w:t>,</w:t>
      </w:r>
      <w:r w:rsidRPr="00FA1E90">
        <w:rPr>
          <w:rFonts w:ascii="Times New Roman" w:hAnsi="Times New Roman" w:cs="Times New Roman"/>
          <w:sz w:val="24"/>
          <w:szCs w:val="24"/>
        </w:rPr>
        <w:t xml:space="preserve"> or ha</w:t>
      </w:r>
      <w:r w:rsidR="006A10E8">
        <w:rPr>
          <w:rFonts w:ascii="Times New Roman" w:hAnsi="Times New Roman" w:cs="Times New Roman"/>
          <w:sz w:val="24"/>
          <w:szCs w:val="24"/>
        </w:rPr>
        <w:t>ve</w:t>
      </w:r>
      <w:r w:rsidRPr="00FA1E90">
        <w:rPr>
          <w:rFonts w:ascii="Times New Roman" w:hAnsi="Times New Roman" w:cs="Times New Roman"/>
          <w:sz w:val="24"/>
          <w:szCs w:val="24"/>
        </w:rPr>
        <w:t xml:space="preserve"> begun to forget many of the project details.</w:t>
      </w:r>
    </w:p>
    <w:p w14:paraId="78015C45" w14:textId="3CD7C27C" w:rsidR="00902BDF" w:rsidRPr="00FA1E90" w:rsidRDefault="00886443" w:rsidP="00A0280D">
      <w:pPr>
        <w:ind w:firstLine="720"/>
        <w:rPr>
          <w:rFonts w:ascii="Times New Roman" w:hAnsi="Times New Roman" w:cs="Times New Roman"/>
          <w:sz w:val="24"/>
          <w:szCs w:val="24"/>
        </w:rPr>
      </w:pPr>
      <w:r w:rsidRPr="00FA1E90">
        <w:rPr>
          <w:rFonts w:ascii="Times New Roman" w:hAnsi="Times New Roman" w:cs="Times New Roman"/>
          <w:sz w:val="24"/>
          <w:szCs w:val="24"/>
        </w:rPr>
        <w:t>The team</w:t>
      </w:r>
      <w:r w:rsidR="00945415">
        <w:rPr>
          <w:rFonts w:ascii="Times New Roman" w:hAnsi="Times New Roman" w:cs="Times New Roman"/>
          <w:sz w:val="24"/>
          <w:szCs w:val="24"/>
        </w:rPr>
        <w:t>’</w:t>
      </w:r>
      <w:r w:rsidRPr="00FA1E90">
        <w:rPr>
          <w:rFonts w:ascii="Times New Roman" w:hAnsi="Times New Roman" w:cs="Times New Roman"/>
          <w:sz w:val="24"/>
          <w:szCs w:val="24"/>
        </w:rPr>
        <w:t>s approach to addressing this issue was to c</w:t>
      </w:r>
      <w:r w:rsidR="00902BDF" w:rsidRPr="00FA1E90">
        <w:rPr>
          <w:rFonts w:ascii="Times New Roman" w:hAnsi="Times New Roman" w:cs="Times New Roman"/>
          <w:sz w:val="24"/>
          <w:szCs w:val="24"/>
        </w:rPr>
        <w:t xml:space="preserve">onduct </w:t>
      </w:r>
      <w:r w:rsidR="006A10E8">
        <w:rPr>
          <w:rFonts w:ascii="Times New Roman" w:hAnsi="Times New Roman" w:cs="Times New Roman"/>
          <w:sz w:val="24"/>
          <w:szCs w:val="24"/>
        </w:rPr>
        <w:t xml:space="preserve">two sets of </w:t>
      </w:r>
      <w:r w:rsidR="00902BDF" w:rsidRPr="00FA1E90">
        <w:rPr>
          <w:rFonts w:ascii="Times New Roman" w:hAnsi="Times New Roman" w:cs="Times New Roman"/>
          <w:sz w:val="24"/>
          <w:szCs w:val="24"/>
        </w:rPr>
        <w:t>net savings interviews</w:t>
      </w:r>
      <w:r w:rsidR="00B55656" w:rsidRPr="00FA1E90">
        <w:rPr>
          <w:rFonts w:ascii="Times New Roman" w:hAnsi="Times New Roman" w:cs="Times New Roman"/>
          <w:sz w:val="24"/>
          <w:szCs w:val="24"/>
        </w:rPr>
        <w:t xml:space="preserve"> with participant</w:t>
      </w:r>
      <w:r w:rsidRPr="00FA1E90">
        <w:rPr>
          <w:rFonts w:ascii="Times New Roman" w:hAnsi="Times New Roman" w:cs="Times New Roman"/>
          <w:sz w:val="24"/>
          <w:szCs w:val="24"/>
        </w:rPr>
        <w:t>s</w:t>
      </w:r>
      <w:r w:rsidR="00B439C2">
        <w:rPr>
          <w:rFonts w:ascii="Times New Roman" w:hAnsi="Times New Roman" w:cs="Times New Roman"/>
          <w:sz w:val="24"/>
          <w:szCs w:val="24"/>
        </w:rPr>
        <w:t xml:space="preserve"> instead of the traditional one interview at program </w:t>
      </w:r>
      <w:r w:rsidR="00FB56CB">
        <w:rPr>
          <w:rFonts w:ascii="Times New Roman" w:hAnsi="Times New Roman" w:cs="Times New Roman"/>
          <w:sz w:val="24"/>
          <w:szCs w:val="24"/>
        </w:rPr>
        <w:t>year-end</w:t>
      </w:r>
      <w:r w:rsidR="00B439C2">
        <w:rPr>
          <w:rFonts w:ascii="Times New Roman" w:hAnsi="Times New Roman" w:cs="Times New Roman"/>
          <w:sz w:val="24"/>
          <w:szCs w:val="24"/>
        </w:rPr>
        <w:t>.</w:t>
      </w:r>
      <w:r w:rsidRPr="00FA1E90">
        <w:rPr>
          <w:rFonts w:ascii="Times New Roman" w:hAnsi="Times New Roman" w:cs="Times New Roman"/>
          <w:sz w:val="24"/>
          <w:szCs w:val="24"/>
        </w:rPr>
        <w:t xml:space="preserve"> </w:t>
      </w:r>
      <w:r w:rsidR="00181183">
        <w:rPr>
          <w:rFonts w:ascii="Times New Roman" w:hAnsi="Times New Roman" w:cs="Times New Roman"/>
          <w:sz w:val="24"/>
          <w:szCs w:val="24"/>
        </w:rPr>
        <w:t>For projects within a predefined savings threshold, t</w:t>
      </w:r>
      <w:r w:rsidR="00B439C2">
        <w:rPr>
          <w:rFonts w:ascii="Times New Roman" w:hAnsi="Times New Roman" w:cs="Times New Roman"/>
          <w:sz w:val="24"/>
          <w:szCs w:val="24"/>
        </w:rPr>
        <w:t>he initial interviews were conducted</w:t>
      </w:r>
      <w:r w:rsidR="004F5652" w:rsidRPr="00FA1E90">
        <w:rPr>
          <w:rFonts w:ascii="Times New Roman" w:hAnsi="Times New Roman" w:cs="Times New Roman"/>
          <w:sz w:val="24"/>
          <w:szCs w:val="24"/>
        </w:rPr>
        <w:t xml:space="preserve"> immediately up</w:t>
      </w:r>
      <w:r w:rsidR="00902BDF" w:rsidRPr="00FA1E90">
        <w:rPr>
          <w:rFonts w:ascii="Times New Roman" w:hAnsi="Times New Roman" w:cs="Times New Roman"/>
          <w:sz w:val="24"/>
          <w:szCs w:val="24"/>
        </w:rPr>
        <w:t>on completion of the project</w:t>
      </w:r>
      <w:r w:rsidR="006A10E8">
        <w:rPr>
          <w:rFonts w:ascii="Times New Roman" w:hAnsi="Times New Roman" w:cs="Times New Roman"/>
          <w:sz w:val="24"/>
          <w:szCs w:val="24"/>
        </w:rPr>
        <w:t xml:space="preserve"> to measure free ridership, and </w:t>
      </w:r>
      <w:r w:rsidR="00B439C2">
        <w:rPr>
          <w:rFonts w:ascii="Times New Roman" w:hAnsi="Times New Roman" w:cs="Times New Roman"/>
          <w:sz w:val="24"/>
          <w:szCs w:val="24"/>
        </w:rPr>
        <w:t xml:space="preserve">the second </w:t>
      </w:r>
      <w:r w:rsidRPr="00FA1E90">
        <w:rPr>
          <w:rFonts w:ascii="Times New Roman" w:hAnsi="Times New Roman" w:cs="Times New Roman"/>
          <w:sz w:val="24"/>
          <w:szCs w:val="24"/>
        </w:rPr>
        <w:t xml:space="preserve">at program </w:t>
      </w:r>
      <w:r w:rsidR="00FB56CB" w:rsidRPr="00FA1E90">
        <w:rPr>
          <w:rFonts w:ascii="Times New Roman" w:hAnsi="Times New Roman" w:cs="Times New Roman"/>
          <w:sz w:val="24"/>
          <w:szCs w:val="24"/>
        </w:rPr>
        <w:t>year-end</w:t>
      </w:r>
      <w:r w:rsidR="006A10E8">
        <w:rPr>
          <w:rFonts w:ascii="Times New Roman" w:hAnsi="Times New Roman" w:cs="Times New Roman"/>
          <w:sz w:val="24"/>
          <w:szCs w:val="24"/>
        </w:rPr>
        <w:t xml:space="preserve"> to capture spillover</w:t>
      </w:r>
      <w:r w:rsidR="0083462B" w:rsidRPr="00FA1E90">
        <w:rPr>
          <w:rFonts w:ascii="Times New Roman" w:hAnsi="Times New Roman" w:cs="Times New Roman"/>
          <w:sz w:val="24"/>
          <w:szCs w:val="24"/>
        </w:rPr>
        <w:t>.</w:t>
      </w:r>
      <w:r w:rsidRPr="00FA1E90">
        <w:rPr>
          <w:rFonts w:ascii="Times New Roman" w:hAnsi="Times New Roman" w:cs="Times New Roman"/>
          <w:sz w:val="24"/>
          <w:szCs w:val="24"/>
        </w:rPr>
        <w:t xml:space="preserve"> This </w:t>
      </w:r>
      <w:r w:rsidR="00B439C2">
        <w:rPr>
          <w:rFonts w:ascii="Times New Roman" w:hAnsi="Times New Roman" w:cs="Times New Roman"/>
          <w:sz w:val="24"/>
          <w:szCs w:val="24"/>
        </w:rPr>
        <w:t xml:space="preserve">free ridership measurement </w:t>
      </w:r>
      <w:r w:rsidRPr="00FA1E90">
        <w:rPr>
          <w:rFonts w:ascii="Times New Roman" w:hAnsi="Times New Roman" w:cs="Times New Roman"/>
          <w:sz w:val="24"/>
          <w:szCs w:val="24"/>
        </w:rPr>
        <w:t>approach has the benefit of increasing the likelihood that</w:t>
      </w:r>
      <w:r w:rsidR="00B439C2">
        <w:rPr>
          <w:rFonts w:ascii="Times New Roman" w:hAnsi="Times New Roman" w:cs="Times New Roman"/>
          <w:sz w:val="24"/>
          <w:szCs w:val="24"/>
        </w:rPr>
        <w:t xml:space="preserve"> participants (as well as any contractors where needed)</w:t>
      </w:r>
      <w:r w:rsidR="00B439C2" w:rsidRPr="00FA1E90">
        <w:rPr>
          <w:rFonts w:ascii="Times New Roman" w:hAnsi="Times New Roman" w:cs="Times New Roman"/>
          <w:sz w:val="24"/>
          <w:szCs w:val="24"/>
        </w:rPr>
        <w:t xml:space="preserve"> </w:t>
      </w:r>
      <w:r w:rsidRPr="00FA1E90">
        <w:rPr>
          <w:rFonts w:ascii="Times New Roman" w:hAnsi="Times New Roman" w:cs="Times New Roman"/>
          <w:sz w:val="24"/>
          <w:szCs w:val="24"/>
        </w:rPr>
        <w:t xml:space="preserve">remember the details of the project and </w:t>
      </w:r>
      <w:r w:rsidR="00B439C2">
        <w:rPr>
          <w:rFonts w:ascii="Times New Roman" w:hAnsi="Times New Roman" w:cs="Times New Roman"/>
          <w:sz w:val="24"/>
          <w:szCs w:val="24"/>
        </w:rPr>
        <w:t>are</w:t>
      </w:r>
      <w:r w:rsidRPr="00FA1E90">
        <w:rPr>
          <w:rFonts w:ascii="Times New Roman" w:hAnsi="Times New Roman" w:cs="Times New Roman"/>
          <w:sz w:val="24"/>
          <w:szCs w:val="24"/>
        </w:rPr>
        <w:t xml:space="preserve"> still with the</w:t>
      </w:r>
      <w:r w:rsidR="00B439C2">
        <w:rPr>
          <w:rFonts w:ascii="Times New Roman" w:hAnsi="Times New Roman" w:cs="Times New Roman"/>
          <w:sz w:val="24"/>
          <w:szCs w:val="24"/>
        </w:rPr>
        <w:t>ir</w:t>
      </w:r>
      <w:r w:rsidRPr="00FA1E90">
        <w:rPr>
          <w:rFonts w:ascii="Times New Roman" w:hAnsi="Times New Roman" w:cs="Times New Roman"/>
          <w:sz w:val="24"/>
          <w:szCs w:val="24"/>
        </w:rPr>
        <w:t xml:space="preserve"> compan</w:t>
      </w:r>
      <w:r w:rsidR="00B439C2">
        <w:rPr>
          <w:rFonts w:ascii="Times New Roman" w:hAnsi="Times New Roman" w:cs="Times New Roman"/>
          <w:sz w:val="24"/>
          <w:szCs w:val="24"/>
        </w:rPr>
        <w:t>ies</w:t>
      </w:r>
      <w:r w:rsidRPr="00FA1E90">
        <w:rPr>
          <w:rFonts w:ascii="Times New Roman" w:hAnsi="Times New Roman" w:cs="Times New Roman"/>
          <w:sz w:val="24"/>
          <w:szCs w:val="24"/>
        </w:rPr>
        <w:t xml:space="preserve"> and willing to talk to the evaluator about the project.</w:t>
      </w:r>
      <w:r w:rsidR="00B439C2">
        <w:rPr>
          <w:rFonts w:ascii="Times New Roman" w:hAnsi="Times New Roman" w:cs="Times New Roman"/>
          <w:sz w:val="24"/>
          <w:szCs w:val="24"/>
        </w:rPr>
        <w:t xml:space="preserve"> The follow up interview at year</w:t>
      </w:r>
      <w:r w:rsidR="0068116D">
        <w:rPr>
          <w:rFonts w:ascii="Times New Roman" w:hAnsi="Times New Roman" w:cs="Times New Roman"/>
          <w:sz w:val="24"/>
          <w:szCs w:val="24"/>
        </w:rPr>
        <w:t>-</w:t>
      </w:r>
      <w:r w:rsidR="00B439C2">
        <w:rPr>
          <w:rFonts w:ascii="Times New Roman" w:hAnsi="Times New Roman" w:cs="Times New Roman"/>
          <w:sz w:val="24"/>
          <w:szCs w:val="24"/>
        </w:rPr>
        <w:t>end allows enough time to have passed for spillover to occur.</w:t>
      </w:r>
    </w:p>
    <w:p w14:paraId="644E3864" w14:textId="77777777" w:rsidR="008A14E2" w:rsidRPr="00FA1E90" w:rsidRDefault="008A14E2" w:rsidP="00F21471">
      <w:pPr>
        <w:ind w:firstLine="720"/>
        <w:rPr>
          <w:rFonts w:ascii="Times New Roman" w:hAnsi="Times New Roman" w:cs="Times New Roman"/>
          <w:sz w:val="24"/>
          <w:szCs w:val="24"/>
        </w:rPr>
      </w:pPr>
    </w:p>
    <w:p w14:paraId="673DB375" w14:textId="77777777" w:rsidR="00B55656" w:rsidRPr="00FA1E90" w:rsidRDefault="00B55656" w:rsidP="00A0280D">
      <w:pPr>
        <w:rPr>
          <w:rFonts w:ascii="Times New Roman" w:hAnsi="Times New Roman" w:cs="Times New Roman"/>
          <w:b/>
          <w:sz w:val="28"/>
          <w:szCs w:val="28"/>
        </w:rPr>
      </w:pPr>
      <w:r w:rsidRPr="00FA1E90">
        <w:rPr>
          <w:rFonts w:ascii="Times New Roman" w:hAnsi="Times New Roman" w:cs="Times New Roman"/>
          <w:b/>
          <w:sz w:val="28"/>
          <w:szCs w:val="28"/>
        </w:rPr>
        <w:t>Results</w:t>
      </w:r>
    </w:p>
    <w:p w14:paraId="27D6464C" w14:textId="77777777" w:rsidR="008A14E2" w:rsidRPr="00FA1E90" w:rsidRDefault="008A14E2" w:rsidP="00F21471">
      <w:pPr>
        <w:rPr>
          <w:rFonts w:ascii="Times New Roman" w:hAnsi="Times New Roman" w:cs="Times New Roman"/>
          <w:b/>
          <w:sz w:val="28"/>
          <w:szCs w:val="28"/>
        </w:rPr>
      </w:pPr>
    </w:p>
    <w:p w14:paraId="451A7B07" w14:textId="3FD9D861" w:rsidR="008E4B54" w:rsidRPr="00FA1E90" w:rsidRDefault="008E4B54" w:rsidP="00A0280D">
      <w:pPr>
        <w:ind w:firstLine="720"/>
        <w:rPr>
          <w:rFonts w:ascii="Times New Roman" w:hAnsi="Times New Roman" w:cs="Times New Roman"/>
          <w:sz w:val="24"/>
          <w:szCs w:val="24"/>
        </w:rPr>
      </w:pPr>
      <w:r w:rsidRPr="00FA1E90">
        <w:rPr>
          <w:rFonts w:ascii="Times New Roman" w:hAnsi="Times New Roman" w:cs="Times New Roman"/>
          <w:sz w:val="24"/>
          <w:szCs w:val="24"/>
        </w:rPr>
        <w:t>The overall results from the changes in the team’s methodolo</w:t>
      </w:r>
      <w:r w:rsidR="000E6580" w:rsidRPr="00FA1E90">
        <w:rPr>
          <w:rFonts w:ascii="Times New Roman" w:hAnsi="Times New Roman" w:cs="Times New Roman"/>
          <w:sz w:val="24"/>
          <w:szCs w:val="24"/>
        </w:rPr>
        <w:t>gies were</w:t>
      </w:r>
      <w:r w:rsidRPr="00FA1E90">
        <w:rPr>
          <w:rFonts w:ascii="Times New Roman" w:hAnsi="Times New Roman" w:cs="Times New Roman"/>
          <w:sz w:val="24"/>
          <w:szCs w:val="24"/>
        </w:rPr>
        <w:t xml:space="preserve"> </w:t>
      </w:r>
      <w:r w:rsidR="000E6580" w:rsidRPr="00FA1E90">
        <w:rPr>
          <w:rFonts w:ascii="Times New Roman" w:hAnsi="Times New Roman" w:cs="Times New Roman"/>
          <w:sz w:val="24"/>
          <w:szCs w:val="24"/>
        </w:rPr>
        <w:t>quite</w:t>
      </w:r>
      <w:r w:rsidRPr="00FA1E90">
        <w:rPr>
          <w:rFonts w:ascii="Times New Roman" w:hAnsi="Times New Roman" w:cs="Times New Roman"/>
          <w:sz w:val="24"/>
          <w:szCs w:val="24"/>
        </w:rPr>
        <w:t xml:space="preserve"> favorable. The team found four key benefits, which are detailed</w:t>
      </w:r>
      <w:r w:rsidR="00CE0964">
        <w:rPr>
          <w:rFonts w:ascii="Times New Roman" w:hAnsi="Times New Roman" w:cs="Times New Roman"/>
          <w:sz w:val="24"/>
          <w:szCs w:val="24"/>
        </w:rPr>
        <w:t xml:space="preserve"> </w:t>
      </w:r>
      <w:r w:rsidR="004812EA">
        <w:rPr>
          <w:rFonts w:ascii="Times New Roman" w:hAnsi="Times New Roman" w:cs="Times New Roman"/>
          <w:sz w:val="24"/>
          <w:szCs w:val="24"/>
        </w:rPr>
        <w:t>in this</w:t>
      </w:r>
      <w:r w:rsidRPr="00FA1E90">
        <w:rPr>
          <w:rFonts w:ascii="Times New Roman" w:hAnsi="Times New Roman" w:cs="Times New Roman"/>
          <w:sz w:val="24"/>
          <w:szCs w:val="24"/>
        </w:rPr>
        <w:t xml:space="preserve"> paper:</w:t>
      </w:r>
    </w:p>
    <w:p w14:paraId="23EE881F" w14:textId="77777777" w:rsidR="008E4B54" w:rsidRPr="00FA1E90" w:rsidRDefault="008E4B54" w:rsidP="00A0280D">
      <w:pPr>
        <w:pStyle w:val="ListParagraph"/>
        <w:numPr>
          <w:ilvl w:val="0"/>
          <w:numId w:val="6"/>
        </w:numPr>
        <w:rPr>
          <w:rFonts w:ascii="Times New Roman" w:hAnsi="Times New Roman" w:cs="Times New Roman"/>
          <w:sz w:val="24"/>
          <w:szCs w:val="24"/>
        </w:rPr>
      </w:pPr>
      <w:r w:rsidRPr="00FA1E90">
        <w:rPr>
          <w:rFonts w:ascii="Times New Roman" w:hAnsi="Times New Roman" w:cs="Times New Roman"/>
          <w:sz w:val="24"/>
          <w:szCs w:val="24"/>
        </w:rPr>
        <w:t xml:space="preserve">Final </w:t>
      </w:r>
      <w:r w:rsidR="000E6580" w:rsidRPr="00FA1E90">
        <w:rPr>
          <w:rFonts w:ascii="Times New Roman" w:hAnsi="Times New Roman" w:cs="Times New Roman"/>
          <w:sz w:val="24"/>
          <w:szCs w:val="24"/>
        </w:rPr>
        <w:t>RRs</w:t>
      </w:r>
      <w:r w:rsidRPr="00FA1E90">
        <w:rPr>
          <w:rFonts w:ascii="Times New Roman" w:hAnsi="Times New Roman" w:cs="Times New Roman"/>
          <w:sz w:val="24"/>
          <w:szCs w:val="24"/>
        </w:rPr>
        <w:t xml:space="preserve"> moved towards 1.0, enhancing the IC’s ability to</w:t>
      </w:r>
      <w:r w:rsidR="00305624">
        <w:rPr>
          <w:rFonts w:ascii="Times New Roman" w:hAnsi="Times New Roman" w:cs="Times New Roman"/>
          <w:sz w:val="24"/>
          <w:szCs w:val="24"/>
        </w:rPr>
        <w:t xml:space="preserve"> accurately</w:t>
      </w:r>
      <w:r w:rsidRPr="00FA1E90">
        <w:rPr>
          <w:rFonts w:ascii="Times New Roman" w:hAnsi="Times New Roman" w:cs="Times New Roman"/>
          <w:sz w:val="24"/>
          <w:szCs w:val="24"/>
        </w:rPr>
        <w:t xml:space="preserve"> project program year savings</w:t>
      </w:r>
    </w:p>
    <w:p w14:paraId="10E8D92B" w14:textId="77777777" w:rsidR="008E4B54" w:rsidRPr="00FA1E90" w:rsidRDefault="008E4B54" w:rsidP="00A0280D">
      <w:pPr>
        <w:pStyle w:val="ListParagraph"/>
        <w:numPr>
          <w:ilvl w:val="0"/>
          <w:numId w:val="6"/>
        </w:numPr>
        <w:rPr>
          <w:rFonts w:ascii="Times New Roman" w:hAnsi="Times New Roman" w:cs="Times New Roman"/>
          <w:sz w:val="24"/>
          <w:szCs w:val="24"/>
        </w:rPr>
      </w:pPr>
      <w:r w:rsidRPr="00FA1E90">
        <w:rPr>
          <w:rFonts w:ascii="Times New Roman" w:hAnsi="Times New Roman" w:cs="Times New Roman"/>
          <w:sz w:val="24"/>
          <w:szCs w:val="24"/>
        </w:rPr>
        <w:t>Incentives paid were consequently more in line with the savings attributed to the program</w:t>
      </w:r>
    </w:p>
    <w:p w14:paraId="4FDFFA2C" w14:textId="77777777" w:rsidR="008E4B54" w:rsidRPr="00FA1E90" w:rsidRDefault="008E4B54" w:rsidP="00A0280D">
      <w:pPr>
        <w:pStyle w:val="ListParagraph"/>
        <w:numPr>
          <w:ilvl w:val="0"/>
          <w:numId w:val="6"/>
        </w:numPr>
        <w:rPr>
          <w:rFonts w:ascii="Times New Roman" w:hAnsi="Times New Roman" w:cs="Times New Roman"/>
          <w:sz w:val="24"/>
          <w:szCs w:val="24"/>
        </w:rPr>
      </w:pPr>
      <w:r w:rsidRPr="00FA1E90">
        <w:rPr>
          <w:rFonts w:ascii="Times New Roman" w:hAnsi="Times New Roman" w:cs="Times New Roman"/>
          <w:sz w:val="24"/>
          <w:szCs w:val="24"/>
        </w:rPr>
        <w:t>Final net savings were more predictable with earlier feedback on selected projects’ NTGRs</w:t>
      </w:r>
    </w:p>
    <w:p w14:paraId="5E8D429F" w14:textId="77777777" w:rsidR="008E4B54" w:rsidRPr="00FA1E90" w:rsidRDefault="008E4B54" w:rsidP="00A0280D">
      <w:pPr>
        <w:pStyle w:val="ListParagraph"/>
        <w:numPr>
          <w:ilvl w:val="0"/>
          <w:numId w:val="6"/>
        </w:numPr>
        <w:rPr>
          <w:rFonts w:ascii="Times New Roman" w:hAnsi="Times New Roman" w:cs="Times New Roman"/>
          <w:sz w:val="24"/>
          <w:szCs w:val="24"/>
        </w:rPr>
      </w:pPr>
      <w:r w:rsidRPr="00FA1E90">
        <w:rPr>
          <w:rFonts w:ascii="Times New Roman" w:hAnsi="Times New Roman" w:cs="Times New Roman"/>
          <w:sz w:val="24"/>
          <w:szCs w:val="24"/>
        </w:rPr>
        <w:t>Final program reporting accelerated dramatically due to the on-going communication</w:t>
      </w:r>
    </w:p>
    <w:p w14:paraId="6C41C964" w14:textId="519DAB8D" w:rsidR="008E4B54" w:rsidRDefault="00B26C83" w:rsidP="00A0280D">
      <w:pPr>
        <w:rPr>
          <w:rFonts w:ascii="Times New Roman" w:hAnsi="Times New Roman" w:cs="Times New Roman"/>
          <w:sz w:val="24"/>
          <w:szCs w:val="24"/>
        </w:rPr>
      </w:pPr>
      <w:r>
        <w:rPr>
          <w:rFonts w:ascii="Times New Roman" w:hAnsi="Times New Roman" w:cs="Times New Roman"/>
          <w:sz w:val="24"/>
          <w:szCs w:val="24"/>
        </w:rPr>
        <w:t xml:space="preserve">Next, the paper </w:t>
      </w:r>
      <w:r w:rsidR="008E4B54" w:rsidRPr="00FA1E90">
        <w:rPr>
          <w:rFonts w:ascii="Times New Roman" w:hAnsi="Times New Roman" w:cs="Times New Roman"/>
          <w:sz w:val="24"/>
          <w:szCs w:val="24"/>
        </w:rPr>
        <w:t>compare</w:t>
      </w:r>
      <w:r>
        <w:rPr>
          <w:rFonts w:ascii="Times New Roman" w:hAnsi="Times New Roman" w:cs="Times New Roman"/>
          <w:sz w:val="24"/>
          <w:szCs w:val="24"/>
        </w:rPr>
        <w:t>s</w:t>
      </w:r>
      <w:r w:rsidR="008E4B54" w:rsidRPr="00FA1E90">
        <w:rPr>
          <w:rFonts w:ascii="Times New Roman" w:hAnsi="Times New Roman" w:cs="Times New Roman"/>
          <w:sz w:val="24"/>
          <w:szCs w:val="24"/>
        </w:rPr>
        <w:t xml:space="preserve"> the processes and related results in program year 1 (PY1), program year 2 (PY2) and progr</w:t>
      </w:r>
      <w:r w:rsidR="00891F16">
        <w:rPr>
          <w:rFonts w:ascii="Times New Roman" w:hAnsi="Times New Roman" w:cs="Times New Roman"/>
          <w:sz w:val="24"/>
          <w:szCs w:val="24"/>
        </w:rPr>
        <w:t>am year 3 (PY3) for Nicor Gas’ Custom P</w:t>
      </w:r>
      <w:r w:rsidR="008E4B54" w:rsidRPr="00FA1E90">
        <w:rPr>
          <w:rFonts w:ascii="Times New Roman" w:hAnsi="Times New Roman" w:cs="Times New Roman"/>
          <w:sz w:val="24"/>
          <w:szCs w:val="24"/>
        </w:rPr>
        <w:t>rogram evaluation.</w:t>
      </w:r>
      <w:r w:rsidR="007808BA">
        <w:rPr>
          <w:rFonts w:ascii="Times New Roman" w:hAnsi="Times New Roman" w:cs="Times New Roman"/>
          <w:sz w:val="24"/>
          <w:szCs w:val="24"/>
        </w:rPr>
        <w:t xml:space="preserve"> The evaluation approach for PY1 followed a standard approach, while the evaluation of PY2 and PY3 followed (or </w:t>
      </w:r>
      <w:r w:rsidR="00CE0964">
        <w:rPr>
          <w:rFonts w:ascii="Times New Roman" w:hAnsi="Times New Roman" w:cs="Times New Roman"/>
          <w:sz w:val="24"/>
          <w:szCs w:val="24"/>
        </w:rPr>
        <w:t>is following for</w:t>
      </w:r>
      <w:r w:rsidR="007808BA">
        <w:rPr>
          <w:rFonts w:ascii="Times New Roman" w:hAnsi="Times New Roman" w:cs="Times New Roman"/>
          <w:sz w:val="24"/>
          <w:szCs w:val="24"/>
        </w:rPr>
        <w:t xml:space="preserve"> PY3), </w:t>
      </w:r>
      <w:r w:rsidR="006C174D">
        <w:rPr>
          <w:rFonts w:ascii="Times New Roman" w:hAnsi="Times New Roman" w:cs="Times New Roman"/>
          <w:sz w:val="24"/>
          <w:szCs w:val="24"/>
        </w:rPr>
        <w:t>the e</w:t>
      </w:r>
      <w:r w:rsidR="007808BA">
        <w:rPr>
          <w:rFonts w:ascii="Times New Roman" w:hAnsi="Times New Roman" w:cs="Times New Roman"/>
          <w:sz w:val="24"/>
          <w:szCs w:val="24"/>
        </w:rPr>
        <w:t>arly revi</w:t>
      </w:r>
      <w:r w:rsidR="006C174D">
        <w:rPr>
          <w:rFonts w:ascii="Times New Roman" w:hAnsi="Times New Roman" w:cs="Times New Roman"/>
          <w:sz w:val="24"/>
          <w:szCs w:val="24"/>
        </w:rPr>
        <w:t>ew process.</w:t>
      </w:r>
    </w:p>
    <w:p w14:paraId="5AE7B242" w14:textId="77777777" w:rsidR="00BB3167" w:rsidRDefault="00F2683D" w:rsidP="00D94B23">
      <w:pPr>
        <w:rPr>
          <w:rFonts w:ascii="Times New Roman" w:hAnsi="Times New Roman" w:cs="Times New Roman"/>
          <w:sz w:val="24"/>
          <w:szCs w:val="24"/>
        </w:rPr>
      </w:pPr>
      <w:r>
        <w:rPr>
          <w:rFonts w:ascii="Times New Roman" w:hAnsi="Times New Roman" w:cs="Times New Roman"/>
          <w:sz w:val="24"/>
          <w:szCs w:val="24"/>
        </w:rPr>
        <w:t>The evaluation results are presented in a box and whisker plot format. The box displays the range of RRs for projects of that year falling in the 25</w:t>
      </w:r>
      <w:r w:rsidRPr="00F2683D">
        <w:rPr>
          <w:rFonts w:ascii="Times New Roman" w:hAnsi="Times New Roman" w:cs="Times New Roman"/>
          <w:sz w:val="24"/>
          <w:szCs w:val="24"/>
          <w:vertAlign w:val="superscript"/>
        </w:rPr>
        <w:t>th</w:t>
      </w:r>
      <w:r>
        <w:rPr>
          <w:rFonts w:ascii="Times New Roman" w:hAnsi="Times New Roman" w:cs="Times New Roman"/>
          <w:sz w:val="24"/>
          <w:szCs w:val="24"/>
        </w:rPr>
        <w:t xml:space="preserve"> to 75</w:t>
      </w:r>
      <w:r w:rsidRPr="00F2683D">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percentiles. The lines at each end of the box display the width to the minimum and maximum RR identified. The line in the middle of the box is the median RR, while </w:t>
      </w:r>
      <w:r w:rsidR="005173AB">
        <w:rPr>
          <w:rFonts w:ascii="Times New Roman" w:hAnsi="Times New Roman" w:cs="Times New Roman"/>
          <w:sz w:val="24"/>
          <w:szCs w:val="24"/>
        </w:rPr>
        <w:t xml:space="preserve">the dot is the mean. </w:t>
      </w:r>
    </w:p>
    <w:p w14:paraId="490A1F4D" w14:textId="3CDF31C6" w:rsidR="00F170CF" w:rsidRPr="00D94B23" w:rsidRDefault="00592AC6" w:rsidP="00BB3167">
      <w:pPr>
        <w:ind w:firstLine="720"/>
        <w:rPr>
          <w:noProof/>
        </w:rPr>
      </w:pPr>
      <w:r w:rsidRPr="00FA1E90">
        <w:rPr>
          <w:rFonts w:ascii="Times New Roman" w:hAnsi="Times New Roman" w:cs="Times New Roman"/>
          <w:b/>
          <w:sz w:val="24"/>
          <w:szCs w:val="24"/>
        </w:rPr>
        <w:t xml:space="preserve">Navigant’s </w:t>
      </w:r>
      <w:r w:rsidR="00540F5D" w:rsidRPr="00FA1E90">
        <w:rPr>
          <w:rFonts w:ascii="Times New Roman" w:hAnsi="Times New Roman" w:cs="Times New Roman"/>
          <w:b/>
          <w:sz w:val="24"/>
          <w:szCs w:val="24"/>
        </w:rPr>
        <w:t>final</w:t>
      </w:r>
      <w:r w:rsidR="00891F16">
        <w:rPr>
          <w:rFonts w:ascii="Times New Roman" w:hAnsi="Times New Roman" w:cs="Times New Roman"/>
          <w:b/>
          <w:sz w:val="24"/>
          <w:szCs w:val="24"/>
        </w:rPr>
        <w:t xml:space="preserve"> Custom P</w:t>
      </w:r>
      <w:r w:rsidRPr="00FA1E90">
        <w:rPr>
          <w:rFonts w:ascii="Times New Roman" w:hAnsi="Times New Roman" w:cs="Times New Roman"/>
          <w:b/>
          <w:sz w:val="24"/>
          <w:szCs w:val="24"/>
        </w:rPr>
        <w:t xml:space="preserve">rogram </w:t>
      </w:r>
      <w:r w:rsidR="000E6580" w:rsidRPr="00FA1E90">
        <w:rPr>
          <w:rFonts w:ascii="Times New Roman" w:hAnsi="Times New Roman" w:cs="Times New Roman"/>
          <w:b/>
          <w:sz w:val="24"/>
          <w:szCs w:val="24"/>
        </w:rPr>
        <w:t>RR</w:t>
      </w:r>
      <w:r w:rsidR="00A82DC3" w:rsidRPr="00FA1E90">
        <w:rPr>
          <w:rFonts w:ascii="Times New Roman" w:hAnsi="Times New Roman" w:cs="Times New Roman"/>
          <w:b/>
          <w:sz w:val="24"/>
          <w:szCs w:val="24"/>
        </w:rPr>
        <w:t xml:space="preserve"> </w:t>
      </w:r>
      <w:r w:rsidR="00540F5D" w:rsidRPr="00FA1E90">
        <w:rPr>
          <w:rFonts w:ascii="Times New Roman" w:hAnsi="Times New Roman" w:cs="Times New Roman"/>
          <w:b/>
          <w:sz w:val="24"/>
          <w:szCs w:val="24"/>
        </w:rPr>
        <w:t>rose from 0.87</w:t>
      </w:r>
      <w:r w:rsidR="00A82DC3" w:rsidRPr="00FA1E90">
        <w:rPr>
          <w:rFonts w:ascii="Times New Roman" w:hAnsi="Times New Roman" w:cs="Times New Roman"/>
          <w:b/>
          <w:sz w:val="24"/>
          <w:szCs w:val="24"/>
        </w:rPr>
        <w:t xml:space="preserve"> in PY1 to 1.11 in PY2</w:t>
      </w:r>
      <w:r w:rsidR="000E6580" w:rsidRPr="00FA1E90">
        <w:rPr>
          <w:rFonts w:ascii="Times New Roman" w:hAnsi="Times New Roman" w:cs="Times New Roman"/>
          <w:b/>
          <w:sz w:val="24"/>
          <w:szCs w:val="24"/>
        </w:rPr>
        <w:t>, while the range between the 25</w:t>
      </w:r>
      <w:r w:rsidR="000E6580" w:rsidRPr="00FA1E90">
        <w:rPr>
          <w:rFonts w:ascii="Times New Roman" w:hAnsi="Times New Roman" w:cs="Times New Roman"/>
          <w:b/>
          <w:sz w:val="24"/>
          <w:szCs w:val="24"/>
          <w:vertAlign w:val="superscript"/>
        </w:rPr>
        <w:t>th</w:t>
      </w:r>
      <w:r w:rsidR="000E6580" w:rsidRPr="00FA1E90">
        <w:rPr>
          <w:rFonts w:ascii="Times New Roman" w:hAnsi="Times New Roman" w:cs="Times New Roman"/>
          <w:b/>
          <w:sz w:val="24"/>
          <w:szCs w:val="24"/>
        </w:rPr>
        <w:t xml:space="preserve"> percenti</w:t>
      </w:r>
      <w:r w:rsidR="00F170CF">
        <w:rPr>
          <w:rFonts w:ascii="Times New Roman" w:hAnsi="Times New Roman" w:cs="Times New Roman"/>
          <w:b/>
          <w:sz w:val="24"/>
          <w:szCs w:val="24"/>
        </w:rPr>
        <w:t>le and 75 percentile RR narrowed</w:t>
      </w:r>
      <w:r w:rsidR="000E6580" w:rsidRPr="00FA1E90">
        <w:rPr>
          <w:rFonts w:ascii="Times New Roman" w:hAnsi="Times New Roman" w:cs="Times New Roman"/>
          <w:b/>
          <w:sz w:val="24"/>
          <w:szCs w:val="24"/>
        </w:rPr>
        <w:t xml:space="preserve"> </w:t>
      </w:r>
      <w:r w:rsidR="000E6580" w:rsidRPr="0083462B">
        <w:rPr>
          <w:rFonts w:ascii="Times New Roman" w:hAnsi="Times New Roman" w:cs="Times New Roman"/>
          <w:sz w:val="24"/>
          <w:szCs w:val="24"/>
        </w:rPr>
        <w:t>(</w:t>
      </w:r>
      <w:r w:rsidR="0083462B">
        <w:rPr>
          <w:rFonts w:ascii="Times New Roman" w:hAnsi="Times New Roman" w:cs="Times New Roman"/>
          <w:sz w:val="24"/>
          <w:szCs w:val="24"/>
        </w:rPr>
        <w:fldChar w:fldCharType="begin"/>
      </w:r>
      <w:r w:rsidR="0083462B">
        <w:rPr>
          <w:rFonts w:ascii="Times New Roman" w:hAnsi="Times New Roman" w:cs="Times New Roman"/>
          <w:sz w:val="24"/>
          <w:szCs w:val="24"/>
        </w:rPr>
        <w:instrText xml:space="preserve"> REF _Ref388262524 \h </w:instrText>
      </w:r>
      <w:r w:rsidR="0083462B">
        <w:rPr>
          <w:rFonts w:ascii="Times New Roman" w:hAnsi="Times New Roman" w:cs="Times New Roman"/>
          <w:sz w:val="24"/>
          <w:szCs w:val="24"/>
        </w:rPr>
      </w:r>
      <w:r w:rsidR="0083462B">
        <w:rPr>
          <w:rFonts w:ascii="Times New Roman" w:hAnsi="Times New Roman" w:cs="Times New Roman"/>
          <w:sz w:val="24"/>
          <w:szCs w:val="24"/>
        </w:rPr>
        <w:fldChar w:fldCharType="separate"/>
      </w:r>
      <w:r w:rsidR="00D83370" w:rsidRPr="00F21471">
        <w:rPr>
          <w:rFonts w:ascii="Times New Roman" w:hAnsi="Times New Roman" w:cs="Times New Roman"/>
          <w:sz w:val="24"/>
          <w:szCs w:val="24"/>
        </w:rPr>
        <w:t xml:space="preserve">Figure </w:t>
      </w:r>
      <w:r w:rsidR="00D83370">
        <w:rPr>
          <w:rFonts w:ascii="Times New Roman" w:hAnsi="Times New Roman" w:cs="Times New Roman"/>
          <w:noProof/>
          <w:sz w:val="24"/>
          <w:szCs w:val="24"/>
        </w:rPr>
        <w:t>4</w:t>
      </w:r>
      <w:r w:rsidR="0083462B">
        <w:rPr>
          <w:rFonts w:ascii="Times New Roman" w:hAnsi="Times New Roman" w:cs="Times New Roman"/>
          <w:sz w:val="24"/>
          <w:szCs w:val="24"/>
        </w:rPr>
        <w:fldChar w:fldCharType="end"/>
      </w:r>
      <w:r w:rsidR="00F2683D" w:rsidRPr="0083462B">
        <w:rPr>
          <w:rFonts w:ascii="Times New Roman" w:hAnsi="Times New Roman" w:cs="Times New Roman"/>
          <w:sz w:val="24"/>
          <w:szCs w:val="24"/>
        </w:rPr>
        <w:t>)</w:t>
      </w:r>
      <w:r w:rsidR="00F170CF">
        <w:rPr>
          <w:rFonts w:ascii="Times New Roman" w:hAnsi="Times New Roman" w:cs="Times New Roman"/>
          <w:b/>
          <w:sz w:val="24"/>
          <w:szCs w:val="24"/>
        </w:rPr>
        <w:t>.</w:t>
      </w:r>
      <w:r w:rsidR="00D94B23">
        <w:rPr>
          <w:rFonts w:ascii="Times New Roman" w:hAnsi="Times New Roman" w:cs="Times New Roman"/>
          <w:b/>
          <w:sz w:val="24"/>
          <w:szCs w:val="24"/>
        </w:rPr>
        <w:t xml:space="preserve"> </w:t>
      </w:r>
      <w:r w:rsidR="00D94B23" w:rsidRPr="00A0280D">
        <w:rPr>
          <w:rFonts w:ascii="Times New Roman" w:hAnsi="Times New Roman" w:cs="Times New Roman"/>
          <w:sz w:val="24"/>
          <w:szCs w:val="24"/>
        </w:rPr>
        <w:t>T</w:t>
      </w:r>
      <w:r w:rsidR="00D94B23" w:rsidRPr="00A36092">
        <w:rPr>
          <w:rFonts w:ascii="Times New Roman" w:hAnsi="Times New Roman" w:cs="Times New Roman"/>
          <w:sz w:val="24"/>
          <w:szCs w:val="24"/>
        </w:rPr>
        <w:t>he range</w:t>
      </w:r>
      <w:r w:rsidR="00D94B23" w:rsidRPr="00A0280D">
        <w:rPr>
          <w:rFonts w:ascii="Times New Roman" w:hAnsi="Times New Roman" w:cs="Times New Roman"/>
          <w:sz w:val="24"/>
          <w:szCs w:val="24"/>
        </w:rPr>
        <w:t xml:space="preserve"> between the minimum and maximum RR were significantly wider in PY2 than in PY1</w:t>
      </w:r>
      <w:r w:rsidR="00BB3167">
        <w:rPr>
          <w:rFonts w:ascii="Times New Roman" w:hAnsi="Times New Roman" w:cs="Times New Roman"/>
          <w:sz w:val="24"/>
          <w:szCs w:val="24"/>
        </w:rPr>
        <w:t>; however, this was</w:t>
      </w:r>
      <w:r w:rsidR="00D94B23" w:rsidRPr="00A0280D">
        <w:rPr>
          <w:rFonts w:ascii="Times New Roman" w:hAnsi="Times New Roman" w:cs="Times New Roman"/>
          <w:sz w:val="24"/>
          <w:szCs w:val="24"/>
        </w:rPr>
        <w:t xml:space="preserve"> due to factors outside the control of the IC, as </w:t>
      </w:r>
      <w:r w:rsidR="00D94B23">
        <w:rPr>
          <w:rFonts w:ascii="Times New Roman" w:hAnsi="Times New Roman" w:cs="Times New Roman"/>
          <w:sz w:val="24"/>
          <w:szCs w:val="24"/>
          <w:highlight w:val="yellow"/>
        </w:rPr>
        <w:fldChar w:fldCharType="begin"/>
      </w:r>
      <w:r w:rsidR="00D94B23">
        <w:rPr>
          <w:rFonts w:ascii="Times New Roman" w:hAnsi="Times New Roman" w:cs="Times New Roman"/>
          <w:sz w:val="24"/>
          <w:szCs w:val="24"/>
        </w:rPr>
        <w:instrText xml:space="preserve"> REF _Ref387910770 \h </w:instrText>
      </w:r>
      <w:r w:rsidR="00D94B23">
        <w:rPr>
          <w:rFonts w:ascii="Times New Roman" w:hAnsi="Times New Roman" w:cs="Times New Roman"/>
          <w:sz w:val="24"/>
          <w:szCs w:val="24"/>
          <w:highlight w:val="yellow"/>
        </w:rPr>
      </w:r>
      <w:r w:rsidR="00D94B23">
        <w:rPr>
          <w:rFonts w:ascii="Times New Roman" w:hAnsi="Times New Roman" w:cs="Times New Roman"/>
          <w:sz w:val="24"/>
          <w:szCs w:val="24"/>
          <w:highlight w:val="yellow"/>
        </w:rPr>
        <w:fldChar w:fldCharType="separate"/>
      </w:r>
      <w:r w:rsidR="00D94B23" w:rsidRPr="00A0280D">
        <w:rPr>
          <w:rFonts w:ascii="Times New Roman" w:hAnsi="Times New Roman"/>
          <w:sz w:val="24"/>
        </w:rPr>
        <w:t xml:space="preserve">Figure </w:t>
      </w:r>
      <w:r w:rsidR="00D94B23">
        <w:rPr>
          <w:rFonts w:ascii="Times New Roman" w:hAnsi="Times New Roman" w:cs="Times New Roman"/>
          <w:noProof/>
          <w:sz w:val="24"/>
          <w:szCs w:val="24"/>
        </w:rPr>
        <w:t>6</w:t>
      </w:r>
      <w:r w:rsidR="00D94B23">
        <w:rPr>
          <w:rFonts w:ascii="Times New Roman" w:hAnsi="Times New Roman" w:cs="Times New Roman"/>
          <w:sz w:val="24"/>
          <w:szCs w:val="24"/>
          <w:highlight w:val="yellow"/>
        </w:rPr>
        <w:fldChar w:fldCharType="end"/>
      </w:r>
      <w:r w:rsidR="00D94B23">
        <w:rPr>
          <w:rFonts w:ascii="Times New Roman" w:hAnsi="Times New Roman" w:cs="Times New Roman"/>
          <w:sz w:val="24"/>
          <w:szCs w:val="24"/>
        </w:rPr>
        <w:t xml:space="preserve"> </w:t>
      </w:r>
      <w:r w:rsidR="00D50284">
        <w:rPr>
          <w:rFonts w:ascii="Times New Roman" w:hAnsi="Times New Roman" w:cs="Times New Roman"/>
          <w:sz w:val="24"/>
          <w:szCs w:val="24"/>
        </w:rPr>
        <w:t>shows</w:t>
      </w:r>
      <w:r w:rsidR="00D94B23" w:rsidRPr="00A36092">
        <w:rPr>
          <w:rFonts w:ascii="Times New Roman" w:hAnsi="Times New Roman" w:cs="Times New Roman"/>
          <w:sz w:val="24"/>
          <w:szCs w:val="24"/>
        </w:rPr>
        <w:t>. Specifically, subsequent c</w:t>
      </w:r>
      <w:r w:rsidR="00D94B23">
        <w:rPr>
          <w:rFonts w:ascii="Times New Roman" w:hAnsi="Times New Roman" w:cs="Times New Roman"/>
          <w:sz w:val="24"/>
          <w:szCs w:val="24"/>
        </w:rPr>
        <w:t>ha</w:t>
      </w:r>
      <w:r w:rsidR="00D94B23" w:rsidRPr="00A0280D">
        <w:rPr>
          <w:rFonts w:ascii="Times New Roman" w:hAnsi="Times New Roman" w:cs="Times New Roman"/>
          <w:sz w:val="24"/>
          <w:szCs w:val="24"/>
        </w:rPr>
        <w:t>nges in production schedules and later billing records indicated that savings were either considerably higher or lower than originally estimated.</w:t>
      </w:r>
    </w:p>
    <w:p w14:paraId="20D5CEC0" w14:textId="245FA397" w:rsidR="006D682C" w:rsidRDefault="005868BB" w:rsidP="00A0280D">
      <w:pPr>
        <w:rPr>
          <w:rFonts w:ascii="Times New Roman" w:hAnsi="Times New Roman" w:cs="Times New Roman"/>
          <w:b/>
          <w:sz w:val="24"/>
          <w:szCs w:val="24"/>
        </w:rPr>
      </w:pPr>
      <w:r>
        <w:rPr>
          <w:rFonts w:ascii="Times New Roman" w:hAnsi="Times New Roman" w:cs="Times New Roman"/>
          <w:b/>
          <w:sz w:val="24"/>
          <w:szCs w:val="24"/>
        </w:rPr>
        <w:lastRenderedPageBreak/>
        <w:br/>
      </w:r>
      <w:r w:rsidR="00235925" w:rsidRPr="00235925">
        <w:rPr>
          <w:noProof/>
        </w:rPr>
        <w:t xml:space="preserve"> </w:t>
      </w:r>
      <w:r w:rsidR="00235925">
        <w:rPr>
          <w:noProof/>
        </w:rPr>
        <w:drawing>
          <wp:inline distT="0" distB="0" distL="0" distR="0" wp14:anchorId="3ABABC6E" wp14:editId="28DB9BBC">
            <wp:extent cx="3457575" cy="27432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2052B7">
        <w:rPr>
          <w:rFonts w:ascii="Times New Roman" w:hAnsi="Times New Roman" w:cs="Times New Roman"/>
          <w:b/>
          <w:sz w:val="24"/>
          <w:szCs w:val="24"/>
        </w:rPr>
        <w:t xml:space="preserve"> </w:t>
      </w:r>
    </w:p>
    <w:p w14:paraId="33A0F7D1" w14:textId="2E1D2098" w:rsidR="006D682C" w:rsidRDefault="006D682C" w:rsidP="006D682C">
      <w:pPr>
        <w:pStyle w:val="Caption"/>
        <w:rPr>
          <w:rFonts w:ascii="Times New Roman" w:hAnsi="Times New Roman" w:cs="Times New Roman"/>
          <w:b w:val="0"/>
          <w:color w:val="auto"/>
          <w:sz w:val="24"/>
          <w:szCs w:val="24"/>
        </w:rPr>
      </w:pPr>
      <w:bookmarkStart w:id="6" w:name="_Ref388262524"/>
      <w:r w:rsidRPr="00F21471">
        <w:rPr>
          <w:rFonts w:ascii="Times New Roman" w:hAnsi="Times New Roman" w:cs="Times New Roman"/>
          <w:color w:val="auto"/>
          <w:sz w:val="24"/>
          <w:szCs w:val="24"/>
        </w:rPr>
        <w:t xml:space="preserve">Figure </w:t>
      </w:r>
      <w:r w:rsidRPr="00F21471">
        <w:rPr>
          <w:rFonts w:ascii="Times New Roman" w:hAnsi="Times New Roman" w:cs="Times New Roman"/>
          <w:color w:val="auto"/>
          <w:sz w:val="24"/>
          <w:szCs w:val="24"/>
        </w:rPr>
        <w:fldChar w:fldCharType="begin"/>
      </w:r>
      <w:r w:rsidRPr="00F21471">
        <w:rPr>
          <w:rFonts w:ascii="Times New Roman" w:hAnsi="Times New Roman" w:cs="Times New Roman"/>
          <w:color w:val="auto"/>
          <w:sz w:val="24"/>
          <w:szCs w:val="24"/>
        </w:rPr>
        <w:instrText xml:space="preserve"> SEQ Figure \* ARABIC </w:instrText>
      </w:r>
      <w:r w:rsidRPr="00F21471">
        <w:rPr>
          <w:rFonts w:ascii="Times New Roman" w:hAnsi="Times New Roman" w:cs="Times New Roman"/>
          <w:color w:val="auto"/>
          <w:sz w:val="24"/>
          <w:szCs w:val="24"/>
        </w:rPr>
        <w:fldChar w:fldCharType="separate"/>
      </w:r>
      <w:r w:rsidR="00D83370">
        <w:rPr>
          <w:rFonts w:ascii="Times New Roman" w:hAnsi="Times New Roman" w:cs="Times New Roman"/>
          <w:noProof/>
          <w:color w:val="auto"/>
          <w:sz w:val="24"/>
          <w:szCs w:val="24"/>
        </w:rPr>
        <w:t>4</w:t>
      </w:r>
      <w:r w:rsidRPr="00F21471">
        <w:rPr>
          <w:rFonts w:ascii="Times New Roman" w:hAnsi="Times New Roman" w:cs="Times New Roman"/>
          <w:color w:val="auto"/>
          <w:sz w:val="24"/>
          <w:szCs w:val="24"/>
        </w:rPr>
        <w:fldChar w:fldCharType="end"/>
      </w:r>
      <w:bookmarkEnd w:id="6"/>
      <w:r w:rsidR="006F2AFF">
        <w:rPr>
          <w:rFonts w:ascii="Times New Roman" w:hAnsi="Times New Roman" w:cs="Times New Roman"/>
          <w:color w:val="auto"/>
          <w:sz w:val="24"/>
          <w:szCs w:val="24"/>
        </w:rPr>
        <w:t>.</w:t>
      </w:r>
      <w:r w:rsidRPr="00F21471">
        <w:rPr>
          <w:rFonts w:ascii="Times New Roman" w:hAnsi="Times New Roman" w:cs="Times New Roman"/>
          <w:b w:val="0"/>
          <w:color w:val="auto"/>
          <w:sz w:val="24"/>
          <w:szCs w:val="24"/>
        </w:rPr>
        <w:t xml:space="preserve"> Final Realization Rates for PY1 and PY2</w:t>
      </w:r>
    </w:p>
    <w:p w14:paraId="76335D2B" w14:textId="77777777" w:rsidR="006D682C" w:rsidRDefault="006D682C" w:rsidP="00A0280D">
      <w:pPr>
        <w:rPr>
          <w:rFonts w:ascii="Times New Roman" w:hAnsi="Times New Roman" w:cs="Times New Roman"/>
          <w:b/>
          <w:sz w:val="24"/>
          <w:szCs w:val="24"/>
        </w:rPr>
      </w:pPr>
    </w:p>
    <w:p w14:paraId="383EEEBC" w14:textId="60C0EFEF" w:rsidR="00540F5D" w:rsidRPr="00FA1E90" w:rsidRDefault="00CA3083" w:rsidP="00A0280D">
      <w:pPr>
        <w:ind w:firstLine="720"/>
        <w:rPr>
          <w:rFonts w:ascii="Times New Roman" w:hAnsi="Times New Roman" w:cs="Times New Roman"/>
          <w:sz w:val="24"/>
          <w:szCs w:val="24"/>
        </w:rPr>
      </w:pPr>
      <w:r w:rsidRPr="00FA1E90">
        <w:rPr>
          <w:rFonts w:ascii="Times New Roman" w:hAnsi="Times New Roman" w:cs="Times New Roman"/>
          <w:sz w:val="24"/>
          <w:szCs w:val="24"/>
        </w:rPr>
        <w:t>The new methodology</w:t>
      </w:r>
      <w:r w:rsidR="002E7509">
        <w:rPr>
          <w:rFonts w:ascii="Times New Roman" w:hAnsi="Times New Roman" w:cs="Times New Roman"/>
          <w:sz w:val="24"/>
          <w:szCs w:val="24"/>
        </w:rPr>
        <w:t>’s primary objective</w:t>
      </w:r>
      <w:r w:rsidRPr="00FA1E90">
        <w:rPr>
          <w:rFonts w:ascii="Times New Roman" w:hAnsi="Times New Roman" w:cs="Times New Roman"/>
          <w:sz w:val="24"/>
          <w:szCs w:val="24"/>
        </w:rPr>
        <w:t xml:space="preserve"> improve</w:t>
      </w:r>
      <w:r w:rsidR="002E7509">
        <w:rPr>
          <w:rFonts w:ascii="Times New Roman" w:hAnsi="Times New Roman" w:cs="Times New Roman"/>
          <w:sz w:val="24"/>
          <w:szCs w:val="24"/>
        </w:rPr>
        <w:t>d</w:t>
      </w:r>
      <w:r w:rsidRPr="00FA1E90">
        <w:rPr>
          <w:rFonts w:ascii="Times New Roman" w:hAnsi="Times New Roman" w:cs="Times New Roman"/>
          <w:sz w:val="24"/>
          <w:szCs w:val="24"/>
        </w:rPr>
        <w:t xml:space="preserve"> the predictability of final program savings by reducing</w:t>
      </w:r>
      <w:r w:rsidR="00540F5D" w:rsidRPr="00FA1E90">
        <w:rPr>
          <w:rFonts w:ascii="Times New Roman" w:hAnsi="Times New Roman" w:cs="Times New Roman"/>
          <w:sz w:val="24"/>
          <w:szCs w:val="24"/>
        </w:rPr>
        <w:t xml:space="preserve"> the variance in final program gross savings</w:t>
      </w:r>
      <w:r w:rsidR="002E7509">
        <w:rPr>
          <w:rFonts w:ascii="Times New Roman" w:hAnsi="Times New Roman" w:cs="Times New Roman"/>
          <w:sz w:val="24"/>
          <w:szCs w:val="24"/>
        </w:rPr>
        <w:t>.</w:t>
      </w:r>
      <w:r w:rsidR="00540F5D" w:rsidRPr="00FA1E90">
        <w:rPr>
          <w:rFonts w:ascii="Times New Roman" w:hAnsi="Times New Roman" w:cs="Times New Roman"/>
          <w:sz w:val="24"/>
          <w:szCs w:val="24"/>
        </w:rPr>
        <w:t xml:space="preserve"> A perfect result would be to achieve a realization rate of 1.0. In PY2</w:t>
      </w:r>
      <w:r w:rsidR="00C464F7">
        <w:rPr>
          <w:rFonts w:ascii="Times New Roman" w:hAnsi="Times New Roman" w:cs="Times New Roman"/>
          <w:sz w:val="24"/>
          <w:szCs w:val="24"/>
        </w:rPr>
        <w:t>,</w:t>
      </w:r>
      <w:r w:rsidR="00540F5D" w:rsidRPr="00FA1E90">
        <w:rPr>
          <w:rFonts w:ascii="Times New Roman" w:hAnsi="Times New Roman" w:cs="Times New Roman"/>
          <w:sz w:val="24"/>
          <w:szCs w:val="24"/>
        </w:rPr>
        <w:t xml:space="preserve"> </w:t>
      </w:r>
      <w:r w:rsidR="001C0341">
        <w:rPr>
          <w:rFonts w:ascii="Times New Roman" w:hAnsi="Times New Roman" w:cs="Times New Roman"/>
          <w:sz w:val="24"/>
          <w:szCs w:val="24"/>
        </w:rPr>
        <w:t xml:space="preserve">the </w:t>
      </w:r>
      <w:r w:rsidR="00540F5D" w:rsidRPr="00FA1E90">
        <w:rPr>
          <w:rFonts w:ascii="Times New Roman" w:hAnsi="Times New Roman" w:cs="Times New Roman"/>
          <w:sz w:val="24"/>
          <w:szCs w:val="24"/>
        </w:rPr>
        <w:t>evaluated gross savings were 11% above the expected level, versus 13% below in PY1. This is not a significant reduction in variance from 1.0; however, the realization rate was</w:t>
      </w:r>
      <w:r w:rsidR="00707A5E">
        <w:rPr>
          <w:rFonts w:ascii="Times New Roman" w:hAnsi="Times New Roman" w:cs="Times New Roman"/>
          <w:sz w:val="24"/>
          <w:szCs w:val="24"/>
        </w:rPr>
        <w:t xml:space="preserve"> also</w:t>
      </w:r>
      <w:r w:rsidR="00540F5D" w:rsidRPr="00FA1E90">
        <w:rPr>
          <w:rFonts w:ascii="Times New Roman" w:hAnsi="Times New Roman" w:cs="Times New Roman"/>
          <w:sz w:val="24"/>
          <w:szCs w:val="24"/>
        </w:rPr>
        <w:t xml:space="preserve"> above 1.0. This meant that the utility had achieved more savings towards its goal than anticipated and was in a good position </w:t>
      </w:r>
      <w:r w:rsidR="00E56D6E">
        <w:rPr>
          <w:rFonts w:ascii="Times New Roman" w:hAnsi="Times New Roman" w:cs="Times New Roman"/>
          <w:sz w:val="24"/>
          <w:szCs w:val="24"/>
        </w:rPr>
        <w:t xml:space="preserve">to </w:t>
      </w:r>
      <w:r w:rsidR="00C464F7">
        <w:rPr>
          <w:rFonts w:ascii="Times New Roman" w:hAnsi="Times New Roman" w:cs="Times New Roman"/>
          <w:sz w:val="24"/>
          <w:szCs w:val="24"/>
        </w:rPr>
        <w:t>adjust its plans for the balance</w:t>
      </w:r>
      <w:r w:rsidR="00E56D6E">
        <w:rPr>
          <w:rFonts w:ascii="Times New Roman" w:hAnsi="Times New Roman" w:cs="Times New Roman"/>
          <w:sz w:val="24"/>
          <w:szCs w:val="24"/>
        </w:rPr>
        <w:t xml:space="preserve"> of the first three</w:t>
      </w:r>
      <w:r w:rsidR="00C464F7">
        <w:rPr>
          <w:rFonts w:ascii="Times New Roman" w:hAnsi="Times New Roman" w:cs="Times New Roman"/>
          <w:sz w:val="24"/>
          <w:szCs w:val="24"/>
        </w:rPr>
        <w:t>-</w:t>
      </w:r>
      <w:r w:rsidR="00E56D6E">
        <w:rPr>
          <w:rFonts w:ascii="Times New Roman" w:hAnsi="Times New Roman" w:cs="Times New Roman"/>
          <w:sz w:val="24"/>
          <w:szCs w:val="24"/>
        </w:rPr>
        <w:t>year portfolio</w:t>
      </w:r>
      <w:r w:rsidR="00C464F7">
        <w:rPr>
          <w:rFonts w:ascii="Times New Roman" w:hAnsi="Times New Roman" w:cs="Times New Roman"/>
          <w:sz w:val="24"/>
          <w:szCs w:val="24"/>
        </w:rPr>
        <w:t xml:space="preserve"> cycle</w:t>
      </w:r>
      <w:r w:rsidR="00D83370">
        <w:rPr>
          <w:rFonts w:ascii="Times New Roman" w:hAnsi="Times New Roman" w:cs="Times New Roman"/>
          <w:sz w:val="24"/>
          <w:szCs w:val="24"/>
        </w:rPr>
        <w:t>.</w:t>
      </w:r>
    </w:p>
    <w:p w14:paraId="61596595" w14:textId="7F4916FC" w:rsidR="00540F5D" w:rsidRPr="00FA1E90" w:rsidRDefault="00540F5D" w:rsidP="00A0280D">
      <w:pPr>
        <w:ind w:firstLine="720"/>
        <w:rPr>
          <w:rFonts w:ascii="Times New Roman" w:hAnsi="Times New Roman" w:cs="Times New Roman"/>
          <w:sz w:val="24"/>
          <w:szCs w:val="24"/>
        </w:rPr>
      </w:pPr>
      <w:r w:rsidRPr="00FA1E90">
        <w:rPr>
          <w:rFonts w:ascii="Times New Roman" w:hAnsi="Times New Roman" w:cs="Times New Roman"/>
          <w:sz w:val="24"/>
          <w:szCs w:val="24"/>
        </w:rPr>
        <w:t xml:space="preserve">These results suggest that the early review process helped the IC better estimate the project findings in line with the evaluator’s final estimates. Of </w:t>
      </w:r>
      <w:r w:rsidRPr="00D432EF">
        <w:rPr>
          <w:rFonts w:ascii="Times New Roman" w:hAnsi="Times New Roman" w:cs="Times New Roman"/>
          <w:sz w:val="24"/>
          <w:szCs w:val="24"/>
        </w:rPr>
        <w:t xml:space="preserve">course, there were other factors that could have influenced this outcome including, </w:t>
      </w:r>
      <w:r w:rsidR="001C0341">
        <w:rPr>
          <w:rFonts w:ascii="Times New Roman" w:hAnsi="Times New Roman" w:cs="Times New Roman"/>
          <w:sz w:val="24"/>
          <w:szCs w:val="24"/>
        </w:rPr>
        <w:t xml:space="preserve">the </w:t>
      </w:r>
      <w:r w:rsidRPr="00D432EF">
        <w:rPr>
          <w:rFonts w:ascii="Times New Roman" w:hAnsi="Times New Roman" w:cs="Times New Roman"/>
          <w:sz w:val="24"/>
          <w:szCs w:val="24"/>
        </w:rPr>
        <w:t xml:space="preserve">IC learning from the PY1 evaluation, a change in IC personnel, or a change in evaluator personnel. </w:t>
      </w:r>
      <w:r w:rsidR="00707A5E">
        <w:rPr>
          <w:rFonts w:ascii="Times New Roman" w:hAnsi="Times New Roman" w:cs="Times New Roman"/>
          <w:sz w:val="24"/>
          <w:szCs w:val="24"/>
        </w:rPr>
        <w:t>Regardless the</w:t>
      </w:r>
      <w:r w:rsidRPr="00D432EF">
        <w:rPr>
          <w:rFonts w:ascii="Times New Roman" w:hAnsi="Times New Roman" w:cs="Times New Roman"/>
          <w:sz w:val="24"/>
          <w:szCs w:val="24"/>
        </w:rPr>
        <w:t xml:space="preserve"> reason, the outcome was </w:t>
      </w:r>
      <w:r w:rsidR="00707A5E">
        <w:rPr>
          <w:rFonts w:ascii="Times New Roman" w:hAnsi="Times New Roman" w:cs="Times New Roman"/>
          <w:sz w:val="24"/>
          <w:szCs w:val="24"/>
        </w:rPr>
        <w:t>positive</w:t>
      </w:r>
      <w:r w:rsidRPr="00D432EF">
        <w:rPr>
          <w:rFonts w:ascii="Times New Roman" w:hAnsi="Times New Roman" w:cs="Times New Roman"/>
          <w:sz w:val="24"/>
          <w:szCs w:val="24"/>
        </w:rPr>
        <w:t xml:space="preserve"> for </w:t>
      </w:r>
      <w:r w:rsidR="00707A5E">
        <w:rPr>
          <w:rFonts w:ascii="Times New Roman" w:hAnsi="Times New Roman" w:cs="Times New Roman"/>
          <w:sz w:val="24"/>
          <w:szCs w:val="24"/>
        </w:rPr>
        <w:t xml:space="preserve">both </w:t>
      </w:r>
      <w:r w:rsidR="00F160A8">
        <w:rPr>
          <w:rFonts w:ascii="Times New Roman" w:hAnsi="Times New Roman" w:cs="Times New Roman"/>
          <w:sz w:val="24"/>
          <w:szCs w:val="24"/>
        </w:rPr>
        <w:t>IC and the utility</w:t>
      </w:r>
      <w:r w:rsidRPr="00FA1E90">
        <w:rPr>
          <w:rFonts w:ascii="Times New Roman" w:hAnsi="Times New Roman" w:cs="Times New Roman"/>
          <w:sz w:val="24"/>
          <w:szCs w:val="24"/>
        </w:rPr>
        <w:t>.</w:t>
      </w:r>
    </w:p>
    <w:p w14:paraId="3D9AE350" w14:textId="46441E69" w:rsidR="00CA3083" w:rsidRPr="00FA1E90" w:rsidRDefault="00707A5E" w:rsidP="00A0280D">
      <w:pPr>
        <w:ind w:firstLine="720"/>
        <w:rPr>
          <w:rFonts w:ascii="Times New Roman" w:hAnsi="Times New Roman" w:cs="Times New Roman"/>
          <w:sz w:val="24"/>
          <w:szCs w:val="24"/>
        </w:rPr>
      </w:pPr>
      <w:r>
        <w:rPr>
          <w:rFonts w:ascii="Times New Roman" w:hAnsi="Times New Roman" w:cs="Times New Roman"/>
          <w:sz w:val="24"/>
          <w:szCs w:val="24"/>
        </w:rPr>
        <w:t>A</w:t>
      </w:r>
      <w:r w:rsidR="00CA3083" w:rsidRPr="00FA1E90">
        <w:rPr>
          <w:rFonts w:ascii="Times New Roman" w:hAnsi="Times New Roman" w:cs="Times New Roman"/>
          <w:sz w:val="24"/>
          <w:szCs w:val="24"/>
        </w:rPr>
        <w:t xml:space="preserve"> major reason for a</w:t>
      </w:r>
      <w:r w:rsidR="002052B7">
        <w:rPr>
          <w:rFonts w:ascii="Times New Roman" w:hAnsi="Times New Roman" w:cs="Times New Roman"/>
          <w:sz w:val="24"/>
          <w:szCs w:val="24"/>
        </w:rPr>
        <w:t xml:space="preserve"> program</w:t>
      </w:r>
      <w:r w:rsidR="00CA3083" w:rsidRPr="00FA1E90">
        <w:rPr>
          <w:rFonts w:ascii="Times New Roman" w:hAnsi="Times New Roman" w:cs="Times New Roman"/>
          <w:sz w:val="24"/>
          <w:szCs w:val="24"/>
        </w:rPr>
        <w:t xml:space="preserve"> realization rate </w:t>
      </w:r>
      <w:r w:rsidR="001C0341">
        <w:rPr>
          <w:rFonts w:ascii="Times New Roman" w:hAnsi="Times New Roman" w:cs="Times New Roman"/>
          <w:sz w:val="24"/>
          <w:szCs w:val="24"/>
        </w:rPr>
        <w:t>greater than</w:t>
      </w:r>
      <w:r w:rsidR="00CA3083" w:rsidRPr="00FA1E90">
        <w:rPr>
          <w:rFonts w:ascii="Times New Roman" w:hAnsi="Times New Roman" w:cs="Times New Roman"/>
          <w:sz w:val="24"/>
          <w:szCs w:val="24"/>
        </w:rPr>
        <w:t xml:space="preserve"> 1</w:t>
      </w:r>
      <w:r w:rsidR="00D432EF">
        <w:rPr>
          <w:rFonts w:ascii="Times New Roman" w:hAnsi="Times New Roman" w:cs="Times New Roman"/>
          <w:sz w:val="24"/>
          <w:szCs w:val="24"/>
        </w:rPr>
        <w:t xml:space="preserve"> in PY2</w:t>
      </w:r>
      <w:r w:rsidR="00CA3083" w:rsidRPr="00FA1E90">
        <w:rPr>
          <w:rFonts w:ascii="Times New Roman" w:hAnsi="Times New Roman" w:cs="Times New Roman"/>
          <w:sz w:val="24"/>
          <w:szCs w:val="24"/>
        </w:rPr>
        <w:t xml:space="preserve"> was </w:t>
      </w:r>
      <w:r>
        <w:rPr>
          <w:rFonts w:ascii="Times New Roman" w:hAnsi="Times New Roman" w:cs="Times New Roman"/>
          <w:sz w:val="24"/>
          <w:szCs w:val="24"/>
        </w:rPr>
        <w:t>the evaluator</w:t>
      </w:r>
      <w:r w:rsidR="00FB56CB">
        <w:rPr>
          <w:rFonts w:ascii="Times New Roman" w:hAnsi="Times New Roman" w:cs="Times New Roman"/>
          <w:sz w:val="24"/>
          <w:szCs w:val="24"/>
        </w:rPr>
        <w:t>’</w:t>
      </w:r>
      <w:r>
        <w:rPr>
          <w:rFonts w:ascii="Times New Roman" w:hAnsi="Times New Roman" w:cs="Times New Roman"/>
          <w:sz w:val="24"/>
          <w:szCs w:val="24"/>
        </w:rPr>
        <w:t>s</w:t>
      </w:r>
      <w:r w:rsidRPr="00FA1E90">
        <w:rPr>
          <w:rFonts w:ascii="Times New Roman" w:hAnsi="Times New Roman" w:cs="Times New Roman"/>
          <w:sz w:val="24"/>
          <w:szCs w:val="24"/>
        </w:rPr>
        <w:t xml:space="preserve"> </w:t>
      </w:r>
      <w:r w:rsidR="00CA3083" w:rsidRPr="00FA1E90">
        <w:rPr>
          <w:rFonts w:ascii="Times New Roman" w:hAnsi="Times New Roman" w:cs="Times New Roman"/>
          <w:sz w:val="24"/>
          <w:szCs w:val="24"/>
        </w:rPr>
        <w:t xml:space="preserve">use of a different set of weather data than that used by the IC. In PY3, that variance will be eliminated by </w:t>
      </w:r>
      <w:r>
        <w:rPr>
          <w:rFonts w:ascii="Times New Roman" w:hAnsi="Times New Roman" w:cs="Times New Roman"/>
          <w:sz w:val="24"/>
          <w:szCs w:val="24"/>
        </w:rPr>
        <w:t xml:space="preserve">using the </w:t>
      </w:r>
      <w:r w:rsidR="00CA3083" w:rsidRPr="00FA1E90">
        <w:rPr>
          <w:rFonts w:ascii="Times New Roman" w:hAnsi="Times New Roman" w:cs="Times New Roman"/>
          <w:sz w:val="24"/>
          <w:szCs w:val="24"/>
        </w:rPr>
        <w:t>same data set.</w:t>
      </w:r>
    </w:p>
    <w:p w14:paraId="7A0F5A43" w14:textId="7222BF5E" w:rsidR="00540F5D" w:rsidRDefault="00891F16" w:rsidP="00A0280D">
      <w:pPr>
        <w:ind w:firstLine="720"/>
        <w:rPr>
          <w:rFonts w:ascii="Times New Roman" w:hAnsi="Times New Roman" w:cs="Times New Roman"/>
          <w:sz w:val="24"/>
          <w:szCs w:val="24"/>
        </w:rPr>
      </w:pPr>
      <w:r>
        <w:rPr>
          <w:rFonts w:ascii="Times New Roman" w:hAnsi="Times New Roman" w:cs="Times New Roman"/>
          <w:b/>
          <w:sz w:val="24"/>
          <w:szCs w:val="24"/>
        </w:rPr>
        <w:t>Navigant’s final Custom P</w:t>
      </w:r>
      <w:r w:rsidR="00540F5D" w:rsidRPr="00FA1E90">
        <w:rPr>
          <w:rFonts w:ascii="Times New Roman" w:hAnsi="Times New Roman" w:cs="Times New Roman"/>
          <w:b/>
          <w:sz w:val="24"/>
          <w:szCs w:val="24"/>
        </w:rPr>
        <w:t xml:space="preserve">rogram realization rate in PY1 was 0.87, compared to an initial estimate of 0.71, whereas the </w:t>
      </w:r>
      <w:r w:rsidR="0005035C">
        <w:rPr>
          <w:rFonts w:ascii="Times New Roman" w:hAnsi="Times New Roman" w:cs="Times New Roman"/>
          <w:b/>
          <w:sz w:val="24"/>
          <w:szCs w:val="24"/>
        </w:rPr>
        <w:t xml:space="preserve">final </w:t>
      </w:r>
      <w:r w:rsidR="00540F5D" w:rsidRPr="00FA1E90">
        <w:rPr>
          <w:rFonts w:ascii="Times New Roman" w:hAnsi="Times New Roman" w:cs="Times New Roman"/>
          <w:b/>
          <w:sz w:val="24"/>
          <w:szCs w:val="24"/>
        </w:rPr>
        <w:t xml:space="preserve">PY2 rate </w:t>
      </w:r>
      <w:r w:rsidR="0005035C">
        <w:rPr>
          <w:rFonts w:ascii="Times New Roman" w:hAnsi="Times New Roman" w:cs="Times New Roman"/>
          <w:b/>
          <w:sz w:val="24"/>
          <w:szCs w:val="24"/>
        </w:rPr>
        <w:t>was unchanged</w:t>
      </w:r>
      <w:r w:rsidR="0005035C" w:rsidRPr="00FA1E90">
        <w:rPr>
          <w:rFonts w:ascii="Times New Roman" w:hAnsi="Times New Roman" w:cs="Times New Roman"/>
          <w:b/>
          <w:sz w:val="24"/>
          <w:szCs w:val="24"/>
        </w:rPr>
        <w:t xml:space="preserve"> </w:t>
      </w:r>
      <w:r w:rsidR="00540F5D" w:rsidRPr="00FA1E90">
        <w:rPr>
          <w:rFonts w:ascii="Times New Roman" w:hAnsi="Times New Roman" w:cs="Times New Roman"/>
          <w:b/>
          <w:sz w:val="24"/>
          <w:szCs w:val="24"/>
        </w:rPr>
        <w:t>at 1.11</w:t>
      </w:r>
      <w:r w:rsidR="000E6580" w:rsidRPr="00A863CA">
        <w:rPr>
          <w:rFonts w:ascii="Times New Roman" w:hAnsi="Times New Roman" w:cs="Times New Roman"/>
          <w:b/>
          <w:sz w:val="24"/>
          <w:szCs w:val="24"/>
        </w:rPr>
        <w:t xml:space="preserve"> </w:t>
      </w:r>
      <w:r w:rsidR="00F2683D" w:rsidRPr="00A863CA">
        <w:rPr>
          <w:rFonts w:ascii="Times New Roman" w:hAnsi="Times New Roman" w:cs="Times New Roman"/>
          <w:b/>
          <w:sz w:val="24"/>
          <w:szCs w:val="24"/>
        </w:rPr>
        <w:t>(</w:t>
      </w:r>
      <w:r w:rsidR="00C11E5E" w:rsidRPr="00A863CA">
        <w:rPr>
          <w:rFonts w:ascii="Times New Roman" w:hAnsi="Times New Roman" w:cs="Times New Roman"/>
          <w:b/>
          <w:sz w:val="24"/>
          <w:szCs w:val="24"/>
        </w:rPr>
        <w:t xml:space="preserve">shown in </w:t>
      </w:r>
      <w:r w:rsidR="00E84379" w:rsidRPr="00A863CA">
        <w:rPr>
          <w:rFonts w:ascii="Times New Roman" w:hAnsi="Times New Roman" w:cs="Times New Roman"/>
          <w:b/>
          <w:sz w:val="24"/>
          <w:szCs w:val="24"/>
        </w:rPr>
        <w:fldChar w:fldCharType="begin"/>
      </w:r>
      <w:r w:rsidR="00E84379" w:rsidRPr="00A863CA">
        <w:rPr>
          <w:rFonts w:ascii="Times New Roman" w:hAnsi="Times New Roman" w:cs="Times New Roman"/>
          <w:b/>
          <w:sz w:val="24"/>
          <w:szCs w:val="24"/>
        </w:rPr>
        <w:instrText xml:space="preserve"> REF _Ref387910847 \h </w:instrText>
      </w:r>
      <w:r w:rsidR="00C11E5E">
        <w:rPr>
          <w:rFonts w:ascii="Times New Roman" w:hAnsi="Times New Roman" w:cs="Times New Roman"/>
          <w:b/>
          <w:sz w:val="24"/>
          <w:szCs w:val="24"/>
        </w:rPr>
        <w:instrText xml:space="preserve"> \* MERGEFORMAT </w:instrText>
      </w:r>
      <w:r w:rsidR="00E84379" w:rsidRPr="00A863CA">
        <w:rPr>
          <w:rFonts w:ascii="Times New Roman" w:hAnsi="Times New Roman" w:cs="Times New Roman"/>
          <w:b/>
          <w:sz w:val="24"/>
          <w:szCs w:val="24"/>
        </w:rPr>
      </w:r>
      <w:r w:rsidR="00E84379" w:rsidRPr="00A863CA">
        <w:rPr>
          <w:rFonts w:ascii="Times New Roman" w:hAnsi="Times New Roman" w:cs="Times New Roman"/>
          <w:b/>
          <w:sz w:val="24"/>
          <w:szCs w:val="24"/>
        </w:rPr>
        <w:fldChar w:fldCharType="separate"/>
      </w:r>
      <w:r w:rsidR="00D83370" w:rsidRPr="00A863CA">
        <w:rPr>
          <w:rFonts w:ascii="Times New Roman" w:hAnsi="Times New Roman"/>
          <w:b/>
          <w:sz w:val="24"/>
        </w:rPr>
        <w:t xml:space="preserve">Figure </w:t>
      </w:r>
      <w:r w:rsidR="00D83370" w:rsidRPr="00A863CA">
        <w:rPr>
          <w:rFonts w:ascii="Times New Roman" w:hAnsi="Times New Roman" w:cs="Times New Roman"/>
          <w:b/>
          <w:noProof/>
          <w:sz w:val="24"/>
          <w:szCs w:val="24"/>
        </w:rPr>
        <w:t>5</w:t>
      </w:r>
      <w:r w:rsidR="00E84379" w:rsidRPr="00A863CA">
        <w:rPr>
          <w:rFonts w:ascii="Times New Roman" w:hAnsi="Times New Roman" w:cs="Times New Roman"/>
          <w:b/>
          <w:sz w:val="24"/>
          <w:szCs w:val="24"/>
        </w:rPr>
        <w:fldChar w:fldCharType="end"/>
      </w:r>
      <w:r w:rsidR="00CA3083" w:rsidRPr="00A863CA">
        <w:rPr>
          <w:rFonts w:ascii="Times New Roman" w:hAnsi="Times New Roman" w:cs="Times New Roman"/>
          <w:b/>
          <w:sz w:val="24"/>
          <w:szCs w:val="24"/>
        </w:rPr>
        <w:t>)</w:t>
      </w:r>
      <w:r w:rsidR="00C11E5E">
        <w:rPr>
          <w:rFonts w:ascii="Times New Roman" w:hAnsi="Times New Roman" w:cs="Times New Roman"/>
          <w:sz w:val="24"/>
          <w:szCs w:val="24"/>
        </w:rPr>
        <w:t>.</w:t>
      </w:r>
      <w:r w:rsidR="00D432EF">
        <w:rPr>
          <w:rFonts w:ascii="Times New Roman" w:hAnsi="Times New Roman" w:cs="Times New Roman"/>
          <w:sz w:val="24"/>
          <w:szCs w:val="24"/>
        </w:rPr>
        <w:t xml:space="preserve"> </w:t>
      </w:r>
      <w:r w:rsidR="00C11E5E">
        <w:rPr>
          <w:rFonts w:ascii="Times New Roman" w:hAnsi="Times New Roman" w:cs="Times New Roman"/>
          <w:sz w:val="24"/>
          <w:szCs w:val="24"/>
        </w:rPr>
        <w:t xml:space="preserve">PY2 results are summarized as “PY2 – Original &amp; Final” while PY1 results are summarized as “PY1 – Final” and “PY1 – Original”. </w:t>
      </w:r>
      <w:r w:rsidR="00C71681">
        <w:rPr>
          <w:rFonts w:ascii="Times New Roman" w:hAnsi="Times New Roman" w:cs="Times New Roman"/>
          <w:sz w:val="24"/>
          <w:szCs w:val="24"/>
        </w:rPr>
        <w:t>T</w:t>
      </w:r>
      <w:r w:rsidR="00C71681" w:rsidRPr="00FA1E90">
        <w:rPr>
          <w:rFonts w:ascii="Times New Roman" w:hAnsi="Times New Roman" w:cs="Times New Roman"/>
          <w:sz w:val="24"/>
          <w:szCs w:val="24"/>
        </w:rPr>
        <w:t xml:space="preserve">he typical approach </w:t>
      </w:r>
      <w:r w:rsidR="00524E84">
        <w:rPr>
          <w:rFonts w:ascii="Times New Roman" w:hAnsi="Times New Roman" w:cs="Times New Roman"/>
          <w:sz w:val="24"/>
          <w:szCs w:val="24"/>
        </w:rPr>
        <w:t xml:space="preserve">(i.e. the PY1 process) </w:t>
      </w:r>
      <w:r w:rsidR="00C71681" w:rsidRPr="00FA1E90">
        <w:rPr>
          <w:rFonts w:ascii="Times New Roman" w:hAnsi="Times New Roman" w:cs="Times New Roman"/>
          <w:sz w:val="24"/>
          <w:szCs w:val="24"/>
        </w:rPr>
        <w:t xml:space="preserve">to evaluation can require a great deal of </w:t>
      </w:r>
      <w:r w:rsidR="00C71681">
        <w:rPr>
          <w:rFonts w:ascii="Times New Roman" w:hAnsi="Times New Roman" w:cs="Times New Roman"/>
          <w:sz w:val="24"/>
          <w:szCs w:val="24"/>
        </w:rPr>
        <w:t>communication back and forth</w:t>
      </w:r>
      <w:r w:rsidR="00C71681" w:rsidRPr="00FA1E90">
        <w:rPr>
          <w:rFonts w:ascii="Times New Roman" w:hAnsi="Times New Roman" w:cs="Times New Roman"/>
          <w:sz w:val="24"/>
          <w:szCs w:val="24"/>
        </w:rPr>
        <w:t xml:space="preserve"> </w:t>
      </w:r>
      <w:r w:rsidR="00C71681">
        <w:rPr>
          <w:rFonts w:ascii="Times New Roman" w:hAnsi="Times New Roman" w:cs="Times New Roman"/>
          <w:sz w:val="24"/>
          <w:szCs w:val="24"/>
        </w:rPr>
        <w:t xml:space="preserve">between the evaluator and IC </w:t>
      </w:r>
      <w:r w:rsidR="00C71681" w:rsidRPr="00FA1E90">
        <w:rPr>
          <w:rFonts w:ascii="Times New Roman" w:hAnsi="Times New Roman" w:cs="Times New Roman"/>
          <w:sz w:val="24"/>
          <w:szCs w:val="24"/>
        </w:rPr>
        <w:t xml:space="preserve">to finalize project savings values. </w:t>
      </w:r>
      <w:r w:rsidR="00C71681">
        <w:rPr>
          <w:rFonts w:ascii="Times New Roman" w:hAnsi="Times New Roman" w:cs="Times New Roman"/>
          <w:sz w:val="24"/>
          <w:szCs w:val="24"/>
        </w:rPr>
        <w:t>For example, if</w:t>
      </w:r>
      <w:r w:rsidR="00C71681" w:rsidRPr="00FA1E90">
        <w:rPr>
          <w:rFonts w:ascii="Times New Roman" w:hAnsi="Times New Roman" w:cs="Times New Roman"/>
          <w:sz w:val="24"/>
          <w:szCs w:val="24"/>
        </w:rPr>
        <w:t xml:space="preserve"> </w:t>
      </w:r>
      <w:r w:rsidR="00C71681">
        <w:rPr>
          <w:rFonts w:ascii="Times New Roman" w:hAnsi="Times New Roman" w:cs="Times New Roman"/>
          <w:sz w:val="24"/>
          <w:szCs w:val="24"/>
        </w:rPr>
        <w:t xml:space="preserve">the </w:t>
      </w:r>
      <w:r w:rsidR="00C71681" w:rsidRPr="00FA1E90">
        <w:rPr>
          <w:rFonts w:ascii="Times New Roman" w:hAnsi="Times New Roman" w:cs="Times New Roman"/>
          <w:sz w:val="24"/>
          <w:szCs w:val="24"/>
        </w:rPr>
        <w:t xml:space="preserve">IC </w:t>
      </w:r>
      <w:r w:rsidR="00C71681">
        <w:rPr>
          <w:rFonts w:ascii="Times New Roman" w:hAnsi="Times New Roman" w:cs="Times New Roman"/>
          <w:sz w:val="24"/>
          <w:szCs w:val="24"/>
        </w:rPr>
        <w:t>provides incomplete</w:t>
      </w:r>
      <w:r w:rsidR="00C71681" w:rsidRPr="00FA1E90">
        <w:rPr>
          <w:rFonts w:ascii="Times New Roman" w:hAnsi="Times New Roman" w:cs="Times New Roman"/>
          <w:sz w:val="24"/>
          <w:szCs w:val="24"/>
        </w:rPr>
        <w:t xml:space="preserve"> files </w:t>
      </w:r>
      <w:r w:rsidR="00C71681">
        <w:rPr>
          <w:rFonts w:ascii="Times New Roman" w:hAnsi="Times New Roman" w:cs="Times New Roman"/>
          <w:sz w:val="24"/>
          <w:szCs w:val="24"/>
        </w:rPr>
        <w:t xml:space="preserve">or data </w:t>
      </w:r>
      <w:r w:rsidR="00C71681" w:rsidRPr="00FA1E90">
        <w:rPr>
          <w:rFonts w:ascii="Times New Roman" w:hAnsi="Times New Roman" w:cs="Times New Roman"/>
          <w:sz w:val="24"/>
          <w:szCs w:val="24"/>
        </w:rPr>
        <w:t>to the evaluator</w:t>
      </w:r>
      <w:r w:rsidR="00C71681">
        <w:rPr>
          <w:rFonts w:ascii="Times New Roman" w:hAnsi="Times New Roman" w:cs="Times New Roman"/>
          <w:sz w:val="24"/>
          <w:szCs w:val="24"/>
        </w:rPr>
        <w:t>, the IC</w:t>
      </w:r>
      <w:r w:rsidR="00C71681" w:rsidRPr="00FA1E90">
        <w:rPr>
          <w:rFonts w:ascii="Times New Roman" w:hAnsi="Times New Roman" w:cs="Times New Roman"/>
          <w:sz w:val="24"/>
          <w:szCs w:val="24"/>
        </w:rPr>
        <w:t xml:space="preserve"> then </w:t>
      </w:r>
      <w:r w:rsidR="00C71681">
        <w:rPr>
          <w:rFonts w:ascii="Times New Roman" w:hAnsi="Times New Roman" w:cs="Times New Roman"/>
          <w:sz w:val="24"/>
          <w:szCs w:val="24"/>
        </w:rPr>
        <w:t>resubmits</w:t>
      </w:r>
      <w:r w:rsidR="00C71681" w:rsidRPr="00FA1E90">
        <w:rPr>
          <w:rFonts w:ascii="Times New Roman" w:hAnsi="Times New Roman" w:cs="Times New Roman"/>
          <w:sz w:val="24"/>
          <w:szCs w:val="24"/>
        </w:rPr>
        <w:t xml:space="preserve"> </w:t>
      </w:r>
      <w:r w:rsidR="00C71681">
        <w:rPr>
          <w:rFonts w:ascii="Times New Roman" w:hAnsi="Times New Roman" w:cs="Times New Roman"/>
          <w:sz w:val="24"/>
          <w:szCs w:val="24"/>
        </w:rPr>
        <w:t xml:space="preserve">any missing </w:t>
      </w:r>
      <w:r w:rsidR="00C71681" w:rsidRPr="00FA1E90">
        <w:rPr>
          <w:rFonts w:ascii="Times New Roman" w:hAnsi="Times New Roman" w:cs="Times New Roman"/>
          <w:sz w:val="24"/>
          <w:szCs w:val="24"/>
        </w:rPr>
        <w:t xml:space="preserve">information, necessitating a re-evaluation of the verified savings. </w:t>
      </w:r>
      <w:r w:rsidR="000E6580" w:rsidRPr="00FA1E90">
        <w:rPr>
          <w:rFonts w:ascii="Times New Roman" w:hAnsi="Times New Roman" w:cs="Times New Roman"/>
          <w:sz w:val="24"/>
          <w:szCs w:val="24"/>
        </w:rPr>
        <w:t>With the early review of large custom projects</w:t>
      </w:r>
      <w:r w:rsidR="00524E84">
        <w:rPr>
          <w:rFonts w:ascii="Times New Roman" w:hAnsi="Times New Roman" w:cs="Times New Roman"/>
          <w:sz w:val="24"/>
          <w:szCs w:val="24"/>
        </w:rPr>
        <w:t xml:space="preserve"> (i.e.</w:t>
      </w:r>
      <w:r w:rsidR="00CE0964">
        <w:rPr>
          <w:rFonts w:ascii="Times New Roman" w:hAnsi="Times New Roman" w:cs="Times New Roman"/>
          <w:sz w:val="24"/>
          <w:szCs w:val="24"/>
        </w:rPr>
        <w:t>,</w:t>
      </w:r>
      <w:r w:rsidR="00524E84">
        <w:rPr>
          <w:rFonts w:ascii="Times New Roman" w:hAnsi="Times New Roman" w:cs="Times New Roman"/>
          <w:sz w:val="24"/>
          <w:szCs w:val="24"/>
        </w:rPr>
        <w:t xml:space="preserve"> the PY2 process)</w:t>
      </w:r>
      <w:r w:rsidR="00D432EF">
        <w:rPr>
          <w:rFonts w:ascii="Times New Roman" w:hAnsi="Times New Roman" w:cs="Times New Roman"/>
          <w:sz w:val="24"/>
          <w:szCs w:val="24"/>
        </w:rPr>
        <w:t>,</w:t>
      </w:r>
      <w:r w:rsidR="000E6580" w:rsidRPr="00FA1E90">
        <w:rPr>
          <w:rFonts w:ascii="Times New Roman" w:hAnsi="Times New Roman" w:cs="Times New Roman"/>
          <w:sz w:val="24"/>
          <w:szCs w:val="24"/>
        </w:rPr>
        <w:t xml:space="preserve"> this becomes</w:t>
      </w:r>
      <w:r w:rsidR="00A53B45">
        <w:rPr>
          <w:rFonts w:ascii="Times New Roman" w:hAnsi="Times New Roman" w:cs="Times New Roman"/>
          <w:sz w:val="24"/>
          <w:szCs w:val="24"/>
        </w:rPr>
        <w:t xml:space="preserve"> </w:t>
      </w:r>
      <w:r w:rsidR="000E6580" w:rsidRPr="00FA1E90">
        <w:rPr>
          <w:rFonts w:ascii="Times New Roman" w:hAnsi="Times New Roman" w:cs="Times New Roman"/>
          <w:sz w:val="24"/>
          <w:szCs w:val="24"/>
        </w:rPr>
        <w:t>less necessary for two reasons: there is detailed discussion back and forth on the key projects between the evaluator and the IC before a baseline and savings estimation methodology are agreed upon</w:t>
      </w:r>
      <w:r w:rsidR="003F5A37">
        <w:rPr>
          <w:rFonts w:ascii="Times New Roman" w:hAnsi="Times New Roman" w:cs="Times New Roman"/>
          <w:sz w:val="24"/>
          <w:szCs w:val="24"/>
        </w:rPr>
        <w:t>,</w:t>
      </w:r>
      <w:r w:rsidR="000E6580" w:rsidRPr="00FA1E90">
        <w:rPr>
          <w:rFonts w:ascii="Times New Roman" w:hAnsi="Times New Roman" w:cs="Times New Roman"/>
          <w:sz w:val="24"/>
          <w:szCs w:val="24"/>
        </w:rPr>
        <w:t xml:space="preserve"> and the IC and evaluator are communicating throughout the year on savings and baseline estimation methodologies</w:t>
      </w:r>
      <w:r w:rsidR="003F5A37">
        <w:rPr>
          <w:rFonts w:ascii="Times New Roman" w:hAnsi="Times New Roman" w:cs="Times New Roman"/>
          <w:sz w:val="24"/>
          <w:szCs w:val="24"/>
        </w:rPr>
        <w:t>.</w:t>
      </w:r>
      <w:r w:rsidR="000E6580" w:rsidRPr="00FA1E90">
        <w:rPr>
          <w:rFonts w:ascii="Times New Roman" w:hAnsi="Times New Roman" w:cs="Times New Roman"/>
          <w:sz w:val="24"/>
          <w:szCs w:val="24"/>
        </w:rPr>
        <w:t xml:space="preserve"> </w:t>
      </w:r>
      <w:r w:rsidR="003F5A37">
        <w:rPr>
          <w:rFonts w:ascii="Times New Roman" w:hAnsi="Times New Roman" w:cs="Times New Roman"/>
          <w:sz w:val="24"/>
          <w:szCs w:val="24"/>
        </w:rPr>
        <w:t xml:space="preserve">This </w:t>
      </w:r>
      <w:r w:rsidR="000E6580" w:rsidRPr="00FA1E90">
        <w:rPr>
          <w:rFonts w:ascii="Times New Roman" w:hAnsi="Times New Roman" w:cs="Times New Roman"/>
          <w:sz w:val="24"/>
          <w:szCs w:val="24"/>
        </w:rPr>
        <w:t xml:space="preserve">has the </w:t>
      </w:r>
      <w:r w:rsidR="00D432EF">
        <w:rPr>
          <w:rFonts w:ascii="Times New Roman" w:hAnsi="Times New Roman" w:cs="Times New Roman"/>
          <w:sz w:val="24"/>
          <w:szCs w:val="24"/>
        </w:rPr>
        <w:t xml:space="preserve">additional </w:t>
      </w:r>
      <w:r w:rsidR="000E6580" w:rsidRPr="00FA1E90">
        <w:rPr>
          <w:rFonts w:ascii="Times New Roman" w:hAnsi="Times New Roman" w:cs="Times New Roman"/>
          <w:sz w:val="24"/>
          <w:szCs w:val="24"/>
        </w:rPr>
        <w:t>effect of enhancing the IC</w:t>
      </w:r>
      <w:r w:rsidR="00CE0964">
        <w:rPr>
          <w:rFonts w:ascii="Times New Roman" w:hAnsi="Times New Roman" w:cs="Times New Roman"/>
          <w:sz w:val="24"/>
          <w:szCs w:val="24"/>
        </w:rPr>
        <w:t>’</w:t>
      </w:r>
      <w:r w:rsidR="000E6580" w:rsidRPr="00FA1E90">
        <w:rPr>
          <w:rFonts w:ascii="Times New Roman" w:hAnsi="Times New Roman" w:cs="Times New Roman"/>
          <w:sz w:val="24"/>
          <w:szCs w:val="24"/>
        </w:rPr>
        <w:t>s approaches on most of their other projects.</w:t>
      </w:r>
    </w:p>
    <w:p w14:paraId="44B11628" w14:textId="77777777" w:rsidR="005173AB" w:rsidRDefault="005173AB" w:rsidP="00A0280D">
      <w:pPr>
        <w:ind w:firstLine="720"/>
        <w:rPr>
          <w:rFonts w:ascii="Times New Roman" w:hAnsi="Times New Roman" w:cs="Times New Roman"/>
          <w:sz w:val="24"/>
          <w:szCs w:val="24"/>
        </w:rPr>
      </w:pPr>
    </w:p>
    <w:p w14:paraId="23715B44" w14:textId="77777777" w:rsidR="00B13085" w:rsidRDefault="00D432EF" w:rsidP="00F21471">
      <w:r>
        <w:rPr>
          <w:noProof/>
        </w:rPr>
        <w:lastRenderedPageBreak/>
        <w:drawing>
          <wp:inline distT="0" distB="0" distL="0" distR="0" wp14:anchorId="468DA248" wp14:editId="42977A06">
            <wp:extent cx="424815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178248" w14:textId="5464DFE9" w:rsidR="00D432EF" w:rsidRPr="00A0280D" w:rsidRDefault="00D432EF" w:rsidP="00A0280D">
      <w:pPr>
        <w:pStyle w:val="Caption"/>
        <w:rPr>
          <w:rFonts w:ascii="Times New Roman" w:hAnsi="Times New Roman"/>
          <w:b w:val="0"/>
          <w:color w:val="auto"/>
          <w:sz w:val="24"/>
        </w:rPr>
      </w:pPr>
      <w:bookmarkStart w:id="7" w:name="_Ref387679247"/>
      <w:bookmarkStart w:id="8" w:name="_Ref387910847"/>
      <w:r w:rsidRPr="00A0280D">
        <w:rPr>
          <w:rFonts w:ascii="Times New Roman" w:hAnsi="Times New Roman"/>
          <w:color w:val="auto"/>
          <w:sz w:val="24"/>
        </w:rPr>
        <w:t xml:space="preserve">Figure </w:t>
      </w:r>
      <w:bookmarkEnd w:id="7"/>
      <w:r w:rsidR="00B13085" w:rsidRPr="00F21471">
        <w:rPr>
          <w:rFonts w:ascii="Times New Roman" w:hAnsi="Times New Roman" w:cs="Times New Roman"/>
          <w:color w:val="auto"/>
          <w:sz w:val="24"/>
          <w:szCs w:val="24"/>
        </w:rPr>
        <w:fldChar w:fldCharType="begin"/>
      </w:r>
      <w:r w:rsidR="00B13085" w:rsidRPr="00F21471">
        <w:rPr>
          <w:rFonts w:ascii="Times New Roman" w:hAnsi="Times New Roman" w:cs="Times New Roman"/>
          <w:color w:val="auto"/>
          <w:sz w:val="24"/>
          <w:szCs w:val="24"/>
        </w:rPr>
        <w:instrText xml:space="preserve"> SEQ Figure \* ARABIC </w:instrText>
      </w:r>
      <w:r w:rsidR="00B13085" w:rsidRPr="00F21471">
        <w:rPr>
          <w:rFonts w:ascii="Times New Roman" w:hAnsi="Times New Roman" w:cs="Times New Roman"/>
          <w:color w:val="auto"/>
          <w:sz w:val="24"/>
          <w:szCs w:val="24"/>
        </w:rPr>
        <w:fldChar w:fldCharType="separate"/>
      </w:r>
      <w:r w:rsidR="00D83370">
        <w:rPr>
          <w:rFonts w:ascii="Times New Roman" w:hAnsi="Times New Roman" w:cs="Times New Roman"/>
          <w:noProof/>
          <w:color w:val="auto"/>
          <w:sz w:val="24"/>
          <w:szCs w:val="24"/>
        </w:rPr>
        <w:t>5</w:t>
      </w:r>
      <w:r w:rsidR="00B13085" w:rsidRPr="00F21471">
        <w:rPr>
          <w:rFonts w:ascii="Times New Roman" w:hAnsi="Times New Roman" w:cs="Times New Roman"/>
          <w:color w:val="auto"/>
          <w:sz w:val="24"/>
          <w:szCs w:val="24"/>
        </w:rPr>
        <w:fldChar w:fldCharType="end"/>
      </w:r>
      <w:bookmarkEnd w:id="8"/>
      <w:r w:rsidR="006F2AFF">
        <w:rPr>
          <w:rFonts w:ascii="Times New Roman" w:hAnsi="Times New Roman" w:cs="Times New Roman"/>
          <w:color w:val="auto"/>
          <w:sz w:val="24"/>
          <w:szCs w:val="24"/>
        </w:rPr>
        <w:t>.</w:t>
      </w:r>
      <w:r w:rsidRPr="00A0280D">
        <w:rPr>
          <w:rFonts w:ascii="Times New Roman" w:hAnsi="Times New Roman"/>
          <w:color w:val="auto"/>
          <w:sz w:val="24"/>
        </w:rPr>
        <w:t xml:space="preserve"> </w:t>
      </w:r>
      <w:r w:rsidRPr="00A0280D">
        <w:rPr>
          <w:rFonts w:ascii="Times New Roman" w:hAnsi="Times New Roman"/>
          <w:b w:val="0"/>
          <w:color w:val="auto"/>
          <w:sz w:val="24"/>
        </w:rPr>
        <w:t>PY1 and PY2 Actual Custom Program Realization Rates</w:t>
      </w:r>
    </w:p>
    <w:p w14:paraId="39C72E53" w14:textId="77777777" w:rsidR="008A14E2" w:rsidRPr="00F21471" w:rsidRDefault="008A14E2" w:rsidP="00F21471"/>
    <w:p w14:paraId="56EDCA70" w14:textId="3E7A966F" w:rsidR="000E6580" w:rsidRPr="00FA1E90" w:rsidRDefault="00CA3083" w:rsidP="00A0280D">
      <w:pPr>
        <w:ind w:firstLine="720"/>
        <w:rPr>
          <w:rFonts w:ascii="Times New Roman" w:hAnsi="Times New Roman" w:cs="Times New Roman"/>
          <w:sz w:val="24"/>
          <w:szCs w:val="24"/>
        </w:rPr>
      </w:pPr>
      <w:r w:rsidRPr="00FA1E90">
        <w:rPr>
          <w:rFonts w:ascii="Times New Roman" w:hAnsi="Times New Roman" w:cs="Times New Roman"/>
          <w:b/>
          <w:sz w:val="24"/>
          <w:szCs w:val="24"/>
        </w:rPr>
        <w:t>In parallel, f</w:t>
      </w:r>
      <w:r w:rsidR="000E6580" w:rsidRPr="00FA1E90">
        <w:rPr>
          <w:rFonts w:ascii="Times New Roman" w:hAnsi="Times New Roman" w:cs="Times New Roman"/>
          <w:b/>
          <w:sz w:val="24"/>
          <w:szCs w:val="24"/>
        </w:rPr>
        <w:t xml:space="preserve">inal reporting turnaround time from draft to final </w:t>
      </w:r>
      <w:r w:rsidR="001C0341">
        <w:rPr>
          <w:rFonts w:ascii="Times New Roman" w:hAnsi="Times New Roman" w:cs="Times New Roman"/>
          <w:b/>
          <w:sz w:val="24"/>
          <w:szCs w:val="24"/>
        </w:rPr>
        <w:t xml:space="preserve">report </w:t>
      </w:r>
      <w:r w:rsidR="000E6580" w:rsidRPr="00FA1E90">
        <w:rPr>
          <w:rFonts w:ascii="Times New Roman" w:hAnsi="Times New Roman" w:cs="Times New Roman"/>
          <w:b/>
          <w:sz w:val="24"/>
          <w:szCs w:val="24"/>
        </w:rPr>
        <w:t xml:space="preserve">decreased from </w:t>
      </w:r>
      <w:r w:rsidRPr="00FA1E90">
        <w:rPr>
          <w:rFonts w:ascii="Times New Roman" w:hAnsi="Times New Roman" w:cs="Times New Roman"/>
          <w:b/>
          <w:sz w:val="24"/>
          <w:szCs w:val="24"/>
        </w:rPr>
        <w:t>10 months in PY1 to less than one month in PY2</w:t>
      </w:r>
      <w:r w:rsidRPr="00FA1E90">
        <w:rPr>
          <w:rFonts w:ascii="Times New Roman" w:hAnsi="Times New Roman" w:cs="Times New Roman"/>
          <w:sz w:val="24"/>
          <w:szCs w:val="24"/>
        </w:rPr>
        <w:t>. Because the IC and evaluator had been talking with each other over the entire program year, the savings estimation methodologies of</w:t>
      </w:r>
      <w:r w:rsidR="00D432EF">
        <w:rPr>
          <w:rFonts w:ascii="Times New Roman" w:hAnsi="Times New Roman" w:cs="Times New Roman"/>
          <w:sz w:val="24"/>
          <w:szCs w:val="24"/>
        </w:rPr>
        <w:t xml:space="preserve"> the two </w:t>
      </w:r>
      <w:r w:rsidR="001C0341">
        <w:rPr>
          <w:rFonts w:ascii="Times New Roman" w:hAnsi="Times New Roman" w:cs="Times New Roman"/>
          <w:sz w:val="24"/>
          <w:szCs w:val="24"/>
        </w:rPr>
        <w:t xml:space="preserve">parties </w:t>
      </w:r>
      <w:r w:rsidR="00F160A8">
        <w:rPr>
          <w:rFonts w:ascii="Times New Roman" w:hAnsi="Times New Roman" w:cs="Times New Roman"/>
          <w:sz w:val="24"/>
          <w:szCs w:val="24"/>
        </w:rPr>
        <w:t>were much more in accord</w:t>
      </w:r>
      <w:r w:rsidR="00D432EF">
        <w:rPr>
          <w:rFonts w:ascii="Times New Roman" w:hAnsi="Times New Roman" w:cs="Times New Roman"/>
          <w:sz w:val="24"/>
          <w:szCs w:val="24"/>
        </w:rPr>
        <w:t xml:space="preserve">. In addition, </w:t>
      </w:r>
      <w:r w:rsidRPr="00FA1E90">
        <w:rPr>
          <w:rFonts w:ascii="Times New Roman" w:hAnsi="Times New Roman" w:cs="Times New Roman"/>
          <w:sz w:val="24"/>
          <w:szCs w:val="24"/>
        </w:rPr>
        <w:t xml:space="preserve">the IC had a clear understanding of which documents </w:t>
      </w:r>
      <w:r w:rsidR="00F160A8">
        <w:rPr>
          <w:rFonts w:ascii="Times New Roman" w:hAnsi="Times New Roman" w:cs="Times New Roman"/>
          <w:sz w:val="24"/>
          <w:szCs w:val="24"/>
        </w:rPr>
        <w:t xml:space="preserve">the evaluator needed to </w:t>
      </w:r>
      <w:r w:rsidRPr="00FA1E90">
        <w:rPr>
          <w:rFonts w:ascii="Times New Roman" w:hAnsi="Times New Roman" w:cs="Times New Roman"/>
          <w:sz w:val="24"/>
          <w:szCs w:val="24"/>
        </w:rPr>
        <w:t>conclude</w:t>
      </w:r>
      <w:r w:rsidR="00F160A8">
        <w:rPr>
          <w:rFonts w:ascii="Times New Roman" w:hAnsi="Times New Roman" w:cs="Times New Roman"/>
          <w:sz w:val="24"/>
          <w:szCs w:val="24"/>
        </w:rPr>
        <w:t xml:space="preserve"> quickly</w:t>
      </w:r>
      <w:r w:rsidRPr="00FA1E90">
        <w:rPr>
          <w:rFonts w:ascii="Times New Roman" w:hAnsi="Times New Roman" w:cs="Times New Roman"/>
          <w:sz w:val="24"/>
          <w:szCs w:val="24"/>
        </w:rPr>
        <w:t xml:space="preserve"> on the savings estimate</w:t>
      </w:r>
      <w:r w:rsidR="00D432EF">
        <w:rPr>
          <w:rFonts w:ascii="Times New Roman" w:hAnsi="Times New Roman" w:cs="Times New Roman"/>
          <w:sz w:val="24"/>
          <w:szCs w:val="24"/>
        </w:rPr>
        <w:t xml:space="preserve">, eliminating the need </w:t>
      </w:r>
      <w:r w:rsidR="001C0341">
        <w:rPr>
          <w:rFonts w:ascii="Times New Roman" w:hAnsi="Times New Roman" w:cs="Times New Roman"/>
          <w:sz w:val="24"/>
          <w:szCs w:val="24"/>
        </w:rPr>
        <w:t>for</w:t>
      </w:r>
      <w:r w:rsidR="00D432EF">
        <w:rPr>
          <w:rFonts w:ascii="Times New Roman" w:hAnsi="Times New Roman" w:cs="Times New Roman"/>
          <w:sz w:val="24"/>
          <w:szCs w:val="24"/>
        </w:rPr>
        <w:t xml:space="preserve"> multiple document requests</w:t>
      </w:r>
      <w:r w:rsidRPr="00FA1E90">
        <w:rPr>
          <w:rFonts w:ascii="Times New Roman" w:hAnsi="Times New Roman" w:cs="Times New Roman"/>
          <w:sz w:val="24"/>
          <w:szCs w:val="24"/>
        </w:rPr>
        <w:t>.</w:t>
      </w:r>
    </w:p>
    <w:p w14:paraId="7B7C130F" w14:textId="54EAD47A" w:rsidR="00CA3083" w:rsidRPr="00FA1E90" w:rsidRDefault="009568B3" w:rsidP="00A0280D">
      <w:pPr>
        <w:ind w:firstLine="720"/>
        <w:rPr>
          <w:rFonts w:ascii="Times New Roman" w:hAnsi="Times New Roman" w:cs="Times New Roman"/>
          <w:sz w:val="24"/>
          <w:szCs w:val="24"/>
        </w:rPr>
      </w:pPr>
      <w:r w:rsidRPr="00FA1E90">
        <w:rPr>
          <w:rFonts w:ascii="Times New Roman" w:hAnsi="Times New Roman" w:cs="Times New Roman"/>
          <w:b/>
          <w:sz w:val="24"/>
          <w:szCs w:val="24"/>
        </w:rPr>
        <w:t>Normalizing the RRs for projects</w:t>
      </w:r>
      <w:r w:rsidR="00CA3083" w:rsidRPr="00FA1E90">
        <w:rPr>
          <w:rFonts w:ascii="Times New Roman" w:hAnsi="Times New Roman" w:cs="Times New Roman"/>
          <w:b/>
          <w:sz w:val="24"/>
          <w:szCs w:val="24"/>
        </w:rPr>
        <w:t xml:space="preserve"> with changes in circumstances out of the IC</w:t>
      </w:r>
      <w:r w:rsidR="00D432EF">
        <w:rPr>
          <w:rFonts w:ascii="Times New Roman" w:hAnsi="Times New Roman" w:cs="Times New Roman"/>
          <w:b/>
          <w:sz w:val="24"/>
          <w:szCs w:val="24"/>
        </w:rPr>
        <w:t>’</w:t>
      </w:r>
      <w:r w:rsidR="00CA3083" w:rsidRPr="00FA1E90">
        <w:rPr>
          <w:rFonts w:ascii="Times New Roman" w:hAnsi="Times New Roman" w:cs="Times New Roman"/>
          <w:b/>
          <w:sz w:val="24"/>
          <w:szCs w:val="24"/>
        </w:rPr>
        <w:t xml:space="preserve">s control </w:t>
      </w:r>
      <w:r w:rsidRPr="00FA1E90">
        <w:rPr>
          <w:rFonts w:ascii="Times New Roman" w:hAnsi="Times New Roman" w:cs="Times New Roman"/>
          <w:b/>
          <w:sz w:val="24"/>
          <w:szCs w:val="24"/>
        </w:rPr>
        <w:t>shows more clearly the benefits of the collaboration.</w:t>
      </w:r>
      <w:r w:rsidRPr="00FA1E90">
        <w:rPr>
          <w:rFonts w:ascii="Times New Roman" w:hAnsi="Times New Roman" w:cs="Times New Roman"/>
          <w:sz w:val="24"/>
          <w:szCs w:val="24"/>
        </w:rPr>
        <w:t xml:space="preserve"> </w:t>
      </w:r>
      <w:r w:rsidR="00CA3083" w:rsidRPr="00FA1E90">
        <w:rPr>
          <w:rFonts w:ascii="Times New Roman" w:hAnsi="Times New Roman" w:cs="Times New Roman"/>
          <w:sz w:val="24"/>
          <w:szCs w:val="24"/>
        </w:rPr>
        <w:t xml:space="preserve">Captured in these realization rates are events that the IC cannot predict that reduce or increase the project savings. Such changes can include significant changes in </w:t>
      </w:r>
      <w:r w:rsidR="003F5A37">
        <w:rPr>
          <w:rFonts w:ascii="Times New Roman" w:hAnsi="Times New Roman" w:cs="Times New Roman"/>
          <w:sz w:val="24"/>
          <w:szCs w:val="24"/>
        </w:rPr>
        <w:t xml:space="preserve">the </w:t>
      </w:r>
      <w:r w:rsidR="00CA3083" w:rsidRPr="00FA1E90">
        <w:rPr>
          <w:rFonts w:ascii="Times New Roman" w:hAnsi="Times New Roman" w:cs="Times New Roman"/>
          <w:sz w:val="24"/>
          <w:szCs w:val="24"/>
        </w:rPr>
        <w:t xml:space="preserve">operating hours </w:t>
      </w:r>
      <w:r w:rsidR="003F5A37">
        <w:rPr>
          <w:rFonts w:ascii="Times New Roman" w:hAnsi="Times New Roman" w:cs="Times New Roman"/>
          <w:sz w:val="24"/>
          <w:szCs w:val="24"/>
        </w:rPr>
        <w:t xml:space="preserve">of a customer site </w:t>
      </w:r>
      <w:r w:rsidR="00CA3083" w:rsidRPr="00FA1E90">
        <w:rPr>
          <w:rFonts w:ascii="Times New Roman" w:hAnsi="Times New Roman" w:cs="Times New Roman"/>
          <w:sz w:val="24"/>
          <w:szCs w:val="24"/>
        </w:rPr>
        <w:t xml:space="preserve">or differences in actual versus projected production volumes. To estimate the impact of these uncontrollable </w:t>
      </w:r>
      <w:r w:rsidR="003F5A37">
        <w:rPr>
          <w:rFonts w:ascii="Times New Roman" w:hAnsi="Times New Roman" w:cs="Times New Roman"/>
          <w:sz w:val="24"/>
          <w:szCs w:val="24"/>
        </w:rPr>
        <w:t>e</w:t>
      </w:r>
      <w:r w:rsidR="00CA3083" w:rsidRPr="00FA1E90">
        <w:rPr>
          <w:rFonts w:ascii="Times New Roman" w:hAnsi="Times New Roman" w:cs="Times New Roman"/>
          <w:sz w:val="24"/>
          <w:szCs w:val="24"/>
        </w:rPr>
        <w:t xml:space="preserve">vents, </w:t>
      </w:r>
      <w:r w:rsidR="00DA2C52">
        <w:rPr>
          <w:rFonts w:ascii="Times New Roman" w:hAnsi="Times New Roman" w:cs="Times New Roman"/>
          <w:sz w:val="24"/>
          <w:szCs w:val="24"/>
        </w:rPr>
        <w:t xml:space="preserve">the evaluator </w:t>
      </w:r>
      <w:r w:rsidR="00CA3083" w:rsidRPr="00FA1E90">
        <w:rPr>
          <w:rFonts w:ascii="Times New Roman" w:hAnsi="Times New Roman" w:cs="Times New Roman"/>
          <w:sz w:val="24"/>
          <w:szCs w:val="24"/>
        </w:rPr>
        <w:t>removed from the data sets those projects with clear</w:t>
      </w:r>
      <w:r w:rsidRPr="00FA1E90">
        <w:rPr>
          <w:rFonts w:ascii="Times New Roman" w:hAnsi="Times New Roman" w:cs="Times New Roman"/>
          <w:sz w:val="24"/>
          <w:szCs w:val="24"/>
        </w:rPr>
        <w:t xml:space="preserve"> changes in</w:t>
      </w:r>
      <w:r w:rsidR="00CA3083" w:rsidRPr="00FA1E90">
        <w:rPr>
          <w:rFonts w:ascii="Times New Roman" w:hAnsi="Times New Roman" w:cs="Times New Roman"/>
          <w:sz w:val="24"/>
          <w:szCs w:val="24"/>
        </w:rPr>
        <w:t xml:space="preserve"> </w:t>
      </w:r>
      <w:r w:rsidRPr="00FA1E90">
        <w:rPr>
          <w:rFonts w:ascii="Times New Roman" w:hAnsi="Times New Roman" w:cs="Times New Roman"/>
          <w:sz w:val="24"/>
          <w:szCs w:val="24"/>
        </w:rPr>
        <w:t>key parameters outside the IC’s control.</w:t>
      </w:r>
      <w:r w:rsidR="00370BF9">
        <w:rPr>
          <w:rFonts w:ascii="Times New Roman" w:hAnsi="Times New Roman" w:cs="Times New Roman"/>
          <w:sz w:val="24"/>
          <w:szCs w:val="24"/>
        </w:rPr>
        <w:t xml:space="preserve"> For example, if a customer</w:t>
      </w:r>
      <w:r w:rsidR="0034333E">
        <w:rPr>
          <w:rFonts w:ascii="Times New Roman" w:hAnsi="Times New Roman" w:cs="Times New Roman"/>
          <w:sz w:val="24"/>
          <w:szCs w:val="24"/>
        </w:rPr>
        <w:t>’s</w:t>
      </w:r>
      <w:r w:rsidR="00370BF9">
        <w:rPr>
          <w:rFonts w:ascii="Times New Roman" w:hAnsi="Times New Roman" w:cs="Times New Roman"/>
          <w:sz w:val="24"/>
          <w:szCs w:val="24"/>
        </w:rPr>
        <w:t xml:space="preserve"> </w:t>
      </w:r>
      <w:r w:rsidR="0034333E">
        <w:rPr>
          <w:rFonts w:ascii="Times New Roman" w:hAnsi="Times New Roman" w:cs="Times New Roman"/>
          <w:sz w:val="24"/>
          <w:szCs w:val="24"/>
        </w:rPr>
        <w:t>production levels</w:t>
      </w:r>
      <w:r w:rsidR="003D4054">
        <w:rPr>
          <w:rFonts w:ascii="Times New Roman" w:hAnsi="Times New Roman" w:cs="Times New Roman"/>
          <w:sz w:val="24"/>
          <w:szCs w:val="24"/>
        </w:rPr>
        <w:t xml:space="preserve"> changed after the finalization of the project, and decreased or increased the overall gas usage, </w:t>
      </w:r>
      <w:r w:rsidR="001E0D16">
        <w:rPr>
          <w:rFonts w:ascii="Times New Roman" w:hAnsi="Times New Roman" w:cs="Times New Roman"/>
          <w:sz w:val="24"/>
          <w:szCs w:val="24"/>
        </w:rPr>
        <w:t>the realization rate would be impacted. Because the IC could not have planned around these changes, projects that exhibited uncontrollable events were removed from the analysis.</w:t>
      </w:r>
      <w:r w:rsidR="00370BF9">
        <w:rPr>
          <w:rFonts w:ascii="Times New Roman" w:hAnsi="Times New Roman" w:cs="Times New Roman"/>
          <w:sz w:val="24"/>
          <w:szCs w:val="24"/>
        </w:rPr>
        <w:t xml:space="preserve"> </w:t>
      </w:r>
      <w:r w:rsidRPr="00FA1E90">
        <w:rPr>
          <w:rFonts w:ascii="Times New Roman" w:hAnsi="Times New Roman" w:cs="Times New Roman"/>
          <w:sz w:val="24"/>
          <w:szCs w:val="24"/>
        </w:rPr>
        <w:t xml:space="preserve"> When these project</w:t>
      </w:r>
      <w:r w:rsidR="003F5A37">
        <w:rPr>
          <w:rFonts w:ascii="Times New Roman" w:hAnsi="Times New Roman" w:cs="Times New Roman"/>
          <w:sz w:val="24"/>
          <w:szCs w:val="24"/>
        </w:rPr>
        <w:t>s</w:t>
      </w:r>
      <w:r w:rsidRPr="00FA1E90">
        <w:rPr>
          <w:rFonts w:ascii="Times New Roman" w:hAnsi="Times New Roman" w:cs="Times New Roman"/>
          <w:sz w:val="24"/>
          <w:szCs w:val="24"/>
        </w:rPr>
        <w:t xml:space="preserve"> are removed, the benefits of the team collaboration are even clearer as the normalized PY1 RR is 0.83 compared to a normalized PY2 RR of 1.11. </w:t>
      </w:r>
      <w:r w:rsidR="00F96CC4">
        <w:rPr>
          <w:rFonts w:ascii="Times New Roman" w:hAnsi="Times New Roman" w:cs="Times New Roman"/>
          <w:sz w:val="24"/>
          <w:szCs w:val="24"/>
        </w:rPr>
        <w:t>T</w:t>
      </w:r>
      <w:r w:rsidRPr="00FA1E90">
        <w:rPr>
          <w:rFonts w:ascii="Times New Roman" w:hAnsi="Times New Roman" w:cs="Times New Roman"/>
          <w:sz w:val="24"/>
          <w:szCs w:val="24"/>
        </w:rPr>
        <w:t>he variability around the median RR is much narrower in PY2 (</w:t>
      </w:r>
      <w:r w:rsidR="00E84379">
        <w:rPr>
          <w:rFonts w:ascii="Times New Roman" w:hAnsi="Times New Roman" w:cs="Times New Roman"/>
          <w:sz w:val="24"/>
          <w:szCs w:val="24"/>
        </w:rPr>
        <w:fldChar w:fldCharType="begin"/>
      </w:r>
      <w:r w:rsidR="00E84379">
        <w:rPr>
          <w:rFonts w:ascii="Times New Roman" w:hAnsi="Times New Roman" w:cs="Times New Roman"/>
          <w:sz w:val="24"/>
          <w:szCs w:val="24"/>
        </w:rPr>
        <w:instrText xml:space="preserve"> REF _Ref387910770 \h </w:instrText>
      </w:r>
      <w:r w:rsidR="00E84379">
        <w:rPr>
          <w:rFonts w:ascii="Times New Roman" w:hAnsi="Times New Roman" w:cs="Times New Roman"/>
          <w:sz w:val="24"/>
          <w:szCs w:val="24"/>
        </w:rPr>
      </w:r>
      <w:r w:rsidR="00E84379">
        <w:rPr>
          <w:rFonts w:ascii="Times New Roman" w:hAnsi="Times New Roman" w:cs="Times New Roman"/>
          <w:sz w:val="24"/>
          <w:szCs w:val="24"/>
        </w:rPr>
        <w:fldChar w:fldCharType="separate"/>
      </w:r>
      <w:r w:rsidR="00D83370" w:rsidRPr="00A0280D">
        <w:rPr>
          <w:rFonts w:ascii="Times New Roman" w:hAnsi="Times New Roman"/>
          <w:sz w:val="24"/>
        </w:rPr>
        <w:t xml:space="preserve">Figure </w:t>
      </w:r>
      <w:r w:rsidR="00D83370">
        <w:rPr>
          <w:rFonts w:ascii="Times New Roman" w:hAnsi="Times New Roman" w:cs="Times New Roman"/>
          <w:noProof/>
          <w:sz w:val="24"/>
          <w:szCs w:val="24"/>
        </w:rPr>
        <w:t>6</w:t>
      </w:r>
      <w:r w:rsidR="00E84379">
        <w:rPr>
          <w:rFonts w:ascii="Times New Roman" w:hAnsi="Times New Roman" w:cs="Times New Roman"/>
          <w:sz w:val="24"/>
          <w:szCs w:val="24"/>
        </w:rPr>
        <w:fldChar w:fldCharType="end"/>
      </w:r>
      <w:r w:rsidRPr="00FA1E90">
        <w:rPr>
          <w:rFonts w:ascii="Times New Roman" w:hAnsi="Times New Roman" w:cs="Times New Roman"/>
          <w:sz w:val="24"/>
          <w:szCs w:val="24"/>
        </w:rPr>
        <w:t>)</w:t>
      </w:r>
      <w:r w:rsidR="005173AB">
        <w:rPr>
          <w:rFonts w:ascii="Times New Roman" w:hAnsi="Times New Roman" w:cs="Times New Roman"/>
          <w:sz w:val="24"/>
          <w:szCs w:val="24"/>
        </w:rPr>
        <w:t>.</w:t>
      </w:r>
    </w:p>
    <w:p w14:paraId="61F427A0" w14:textId="77777777" w:rsidR="00B55656" w:rsidRPr="00FA1E90" w:rsidRDefault="00B55656" w:rsidP="00A0280D">
      <w:pPr>
        <w:rPr>
          <w:rFonts w:ascii="Times New Roman" w:hAnsi="Times New Roman" w:cs="Times New Roman"/>
          <w:b/>
          <w:sz w:val="24"/>
          <w:szCs w:val="24"/>
        </w:rPr>
      </w:pPr>
    </w:p>
    <w:p w14:paraId="712CBDF6" w14:textId="77777777" w:rsidR="00B13085" w:rsidRDefault="00390F92" w:rsidP="00F21471">
      <w:r>
        <w:rPr>
          <w:noProof/>
        </w:rPr>
        <w:lastRenderedPageBreak/>
        <w:drawing>
          <wp:inline distT="0" distB="0" distL="0" distR="0" wp14:anchorId="450B9696" wp14:editId="689CCCDC">
            <wp:extent cx="48006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3C9193" w14:textId="4BF5348D" w:rsidR="003F5A37" w:rsidRPr="00A0280D" w:rsidRDefault="00FA1E90" w:rsidP="00A0280D">
      <w:pPr>
        <w:pStyle w:val="Caption"/>
        <w:rPr>
          <w:rFonts w:ascii="Times New Roman" w:hAnsi="Times New Roman"/>
          <w:b w:val="0"/>
          <w:color w:val="auto"/>
          <w:sz w:val="24"/>
        </w:rPr>
      </w:pPr>
      <w:bookmarkStart w:id="9" w:name="_Ref387679585"/>
      <w:bookmarkStart w:id="10" w:name="_Ref387910770"/>
      <w:bookmarkStart w:id="11" w:name="_Ref388260501"/>
      <w:r w:rsidRPr="00A0280D">
        <w:rPr>
          <w:rFonts w:ascii="Times New Roman" w:hAnsi="Times New Roman"/>
          <w:color w:val="auto"/>
          <w:sz w:val="24"/>
        </w:rPr>
        <w:t xml:space="preserve">Figure </w:t>
      </w:r>
      <w:bookmarkEnd w:id="9"/>
      <w:r w:rsidR="00B13085" w:rsidRPr="00F21471">
        <w:rPr>
          <w:rFonts w:ascii="Times New Roman" w:hAnsi="Times New Roman" w:cs="Times New Roman"/>
          <w:color w:val="auto"/>
          <w:sz w:val="24"/>
          <w:szCs w:val="24"/>
        </w:rPr>
        <w:fldChar w:fldCharType="begin"/>
      </w:r>
      <w:r w:rsidR="00B13085" w:rsidRPr="00F21471">
        <w:rPr>
          <w:rFonts w:ascii="Times New Roman" w:hAnsi="Times New Roman" w:cs="Times New Roman"/>
          <w:color w:val="auto"/>
          <w:sz w:val="24"/>
          <w:szCs w:val="24"/>
        </w:rPr>
        <w:instrText xml:space="preserve"> SEQ Figure \* ARABIC </w:instrText>
      </w:r>
      <w:r w:rsidR="00B13085" w:rsidRPr="00F21471">
        <w:rPr>
          <w:rFonts w:ascii="Times New Roman" w:hAnsi="Times New Roman" w:cs="Times New Roman"/>
          <w:color w:val="auto"/>
          <w:sz w:val="24"/>
          <w:szCs w:val="24"/>
        </w:rPr>
        <w:fldChar w:fldCharType="separate"/>
      </w:r>
      <w:r w:rsidR="00D83370">
        <w:rPr>
          <w:rFonts w:ascii="Times New Roman" w:hAnsi="Times New Roman" w:cs="Times New Roman"/>
          <w:noProof/>
          <w:color w:val="auto"/>
          <w:sz w:val="24"/>
          <w:szCs w:val="24"/>
        </w:rPr>
        <w:t>6</w:t>
      </w:r>
      <w:r w:rsidR="00B13085" w:rsidRPr="00F21471">
        <w:rPr>
          <w:rFonts w:ascii="Times New Roman" w:hAnsi="Times New Roman" w:cs="Times New Roman"/>
          <w:color w:val="auto"/>
          <w:sz w:val="24"/>
          <w:szCs w:val="24"/>
        </w:rPr>
        <w:fldChar w:fldCharType="end"/>
      </w:r>
      <w:bookmarkEnd w:id="10"/>
      <w:r w:rsidR="006F2AFF">
        <w:rPr>
          <w:rFonts w:ascii="Times New Roman" w:hAnsi="Times New Roman" w:cs="Times New Roman"/>
          <w:color w:val="auto"/>
          <w:sz w:val="24"/>
          <w:szCs w:val="24"/>
        </w:rPr>
        <w:t>.</w:t>
      </w:r>
      <w:r w:rsidRPr="00A0280D">
        <w:rPr>
          <w:rFonts w:ascii="Times New Roman" w:hAnsi="Times New Roman"/>
          <w:color w:val="auto"/>
          <w:sz w:val="24"/>
        </w:rPr>
        <w:t xml:space="preserve"> </w:t>
      </w:r>
      <w:r w:rsidRPr="00A0280D">
        <w:rPr>
          <w:rFonts w:ascii="Times New Roman" w:hAnsi="Times New Roman"/>
          <w:b w:val="0"/>
          <w:color w:val="auto"/>
          <w:sz w:val="24"/>
        </w:rPr>
        <w:t xml:space="preserve">Normalized </w:t>
      </w:r>
      <w:r w:rsidR="00B13085" w:rsidRPr="00F21471">
        <w:rPr>
          <w:rFonts w:ascii="Times New Roman" w:hAnsi="Times New Roman" w:cs="Times New Roman"/>
          <w:b w:val="0"/>
          <w:color w:val="auto"/>
          <w:sz w:val="24"/>
          <w:szCs w:val="24"/>
        </w:rPr>
        <w:t>PY2</w:t>
      </w:r>
      <w:r w:rsidRPr="00A0280D">
        <w:rPr>
          <w:rFonts w:ascii="Times New Roman" w:hAnsi="Times New Roman"/>
          <w:b w:val="0"/>
          <w:color w:val="auto"/>
          <w:sz w:val="24"/>
        </w:rPr>
        <w:t xml:space="preserve"> and PY2 Custom Program Realization Rates</w:t>
      </w:r>
      <w:bookmarkEnd w:id="11"/>
    </w:p>
    <w:p w14:paraId="469E0587" w14:textId="77777777" w:rsidR="008A14E2" w:rsidRPr="00F21471" w:rsidRDefault="008A14E2" w:rsidP="0083462B">
      <w:pPr>
        <w:rPr>
          <w:b/>
        </w:rPr>
      </w:pPr>
    </w:p>
    <w:p w14:paraId="58A9877F" w14:textId="79052792" w:rsidR="00F72DB7" w:rsidRPr="00FA1E90" w:rsidRDefault="00F72DB7" w:rsidP="00A0280D">
      <w:pPr>
        <w:ind w:firstLine="720"/>
        <w:rPr>
          <w:rFonts w:ascii="Times New Roman" w:hAnsi="Times New Roman" w:cs="Times New Roman"/>
          <w:sz w:val="24"/>
          <w:szCs w:val="24"/>
        </w:rPr>
      </w:pPr>
      <w:r w:rsidRPr="00FA1E90">
        <w:rPr>
          <w:rFonts w:ascii="Times New Roman" w:hAnsi="Times New Roman" w:cs="Times New Roman"/>
          <w:b/>
          <w:sz w:val="24"/>
          <w:szCs w:val="24"/>
        </w:rPr>
        <w:t xml:space="preserve">In PY1 the IC paid for gross savings that the utility did not receive credit for, while the reverse is true in PY2. </w:t>
      </w:r>
      <w:r w:rsidRPr="00FA1E90">
        <w:rPr>
          <w:rFonts w:ascii="Times New Roman" w:hAnsi="Times New Roman" w:cs="Times New Roman"/>
          <w:sz w:val="24"/>
          <w:szCs w:val="24"/>
        </w:rPr>
        <w:t xml:space="preserve">A RR of less than 1.0 indicates that the IC overestimated the project savings, and thus </w:t>
      </w:r>
      <w:r w:rsidR="00830B02">
        <w:rPr>
          <w:rFonts w:ascii="Times New Roman" w:hAnsi="Times New Roman" w:cs="Times New Roman"/>
          <w:sz w:val="24"/>
          <w:szCs w:val="24"/>
        </w:rPr>
        <w:t>could have paid fewer dollars</w:t>
      </w:r>
      <w:r w:rsidRPr="00FA1E90">
        <w:rPr>
          <w:rFonts w:ascii="Times New Roman" w:hAnsi="Times New Roman" w:cs="Times New Roman"/>
          <w:sz w:val="24"/>
          <w:szCs w:val="24"/>
        </w:rPr>
        <w:t xml:space="preserve"> for those savings.</w:t>
      </w:r>
      <w:r w:rsidR="006C0FAE" w:rsidRPr="00FA1E90">
        <w:rPr>
          <w:rFonts w:ascii="Times New Roman" w:hAnsi="Times New Roman" w:cs="Times New Roman"/>
          <w:sz w:val="24"/>
          <w:szCs w:val="24"/>
        </w:rPr>
        <w:t xml:space="preserve"> The early review process enabled the IC to better estimate project savings and pay for them accordingly.</w:t>
      </w:r>
      <w:r w:rsidR="0034333E">
        <w:rPr>
          <w:rFonts w:ascii="Times New Roman" w:hAnsi="Times New Roman" w:cs="Times New Roman"/>
          <w:sz w:val="24"/>
          <w:szCs w:val="24"/>
        </w:rPr>
        <w:t xml:space="preserve"> In future years, we would not expect this precise relationship from the early review process (a RR greater than 1.0 instead of less), but rather we would expect the final savings to be more in line with the reported savings, such that incentives paid are more in line with the savings actually generated.</w:t>
      </w:r>
    </w:p>
    <w:p w14:paraId="7ABFFDD5" w14:textId="500C1976" w:rsidR="006C0FAE" w:rsidRDefault="006C0FAE" w:rsidP="00A0280D">
      <w:pPr>
        <w:ind w:firstLine="720"/>
        <w:rPr>
          <w:rFonts w:ascii="Times New Roman" w:hAnsi="Times New Roman" w:cs="Times New Roman"/>
          <w:sz w:val="24"/>
          <w:szCs w:val="24"/>
        </w:rPr>
      </w:pPr>
      <w:r w:rsidRPr="00FA1E90">
        <w:rPr>
          <w:rFonts w:ascii="Times New Roman" w:hAnsi="Times New Roman" w:cs="Times New Roman"/>
          <w:b/>
          <w:sz w:val="24"/>
          <w:szCs w:val="24"/>
        </w:rPr>
        <w:t>Early NTGR research in GPY3 has reduced the uncertainty in the final</w:t>
      </w:r>
      <w:r w:rsidR="00D93B76" w:rsidRPr="00FA1E90">
        <w:rPr>
          <w:rFonts w:ascii="Times New Roman" w:hAnsi="Times New Roman" w:cs="Times New Roman"/>
          <w:b/>
          <w:sz w:val="24"/>
          <w:szCs w:val="24"/>
        </w:rPr>
        <w:t xml:space="preserve"> PY3</w:t>
      </w:r>
      <w:r w:rsidRPr="00FA1E90">
        <w:rPr>
          <w:rFonts w:ascii="Times New Roman" w:hAnsi="Times New Roman" w:cs="Times New Roman"/>
          <w:b/>
          <w:sz w:val="24"/>
          <w:szCs w:val="24"/>
        </w:rPr>
        <w:t xml:space="preserve"> NTGR and total savings attributed to the utility</w:t>
      </w:r>
      <w:r w:rsidRPr="00FA1E90">
        <w:rPr>
          <w:rFonts w:ascii="Times New Roman" w:hAnsi="Times New Roman" w:cs="Times New Roman"/>
          <w:sz w:val="24"/>
          <w:szCs w:val="24"/>
        </w:rPr>
        <w:t>. Custom program NTGRs can vary significantly year to year depending on the mix of the technologies and customers</w:t>
      </w:r>
      <w:r w:rsidR="00891F16">
        <w:rPr>
          <w:rFonts w:ascii="Times New Roman" w:hAnsi="Times New Roman" w:cs="Times New Roman"/>
          <w:sz w:val="24"/>
          <w:szCs w:val="24"/>
        </w:rPr>
        <w:t xml:space="preserve"> </w:t>
      </w:r>
      <w:r w:rsidR="00DA2C52">
        <w:rPr>
          <w:rFonts w:ascii="Times New Roman" w:hAnsi="Times New Roman" w:cs="Times New Roman"/>
          <w:sz w:val="24"/>
          <w:szCs w:val="24"/>
        </w:rPr>
        <w:t xml:space="preserve">and contractors </w:t>
      </w:r>
      <w:r w:rsidR="00891F16">
        <w:rPr>
          <w:rFonts w:ascii="Times New Roman" w:hAnsi="Times New Roman" w:cs="Times New Roman"/>
          <w:sz w:val="24"/>
          <w:szCs w:val="24"/>
        </w:rPr>
        <w:t>participating. For Nicor Gas’ Custom P</w:t>
      </w:r>
      <w:r w:rsidRPr="00FA1E90">
        <w:rPr>
          <w:rFonts w:ascii="Times New Roman" w:hAnsi="Times New Roman" w:cs="Times New Roman"/>
          <w:sz w:val="24"/>
          <w:szCs w:val="24"/>
        </w:rPr>
        <w:t>rogram, the NTGR ranged from 0.53 in GPY1 to 0.72 in GPY2, a differen</w:t>
      </w:r>
      <w:r w:rsidR="008F627F">
        <w:rPr>
          <w:rFonts w:ascii="Times New Roman" w:hAnsi="Times New Roman" w:cs="Times New Roman"/>
          <w:sz w:val="24"/>
          <w:szCs w:val="24"/>
        </w:rPr>
        <w:t>ce</w:t>
      </w:r>
      <w:r w:rsidR="0068116D">
        <w:rPr>
          <w:rFonts w:ascii="Times New Roman" w:hAnsi="Times New Roman" w:cs="Times New Roman"/>
          <w:sz w:val="24"/>
          <w:szCs w:val="24"/>
        </w:rPr>
        <w:t xml:space="preserve"> of almost 20 percentage points </w:t>
      </w:r>
      <w:r w:rsidR="00D93B76" w:rsidRPr="00FA1E90">
        <w:rPr>
          <w:rFonts w:ascii="Times New Roman" w:hAnsi="Times New Roman" w:cs="Times New Roman"/>
          <w:sz w:val="24"/>
          <w:szCs w:val="24"/>
        </w:rPr>
        <w:t>(</w:t>
      </w:r>
      <w:r w:rsidR="00E84379" w:rsidRPr="0083462B">
        <w:rPr>
          <w:rFonts w:ascii="Times New Roman" w:hAnsi="Times New Roman" w:cs="Times New Roman"/>
          <w:sz w:val="24"/>
          <w:szCs w:val="24"/>
        </w:rPr>
        <w:fldChar w:fldCharType="begin"/>
      </w:r>
      <w:r w:rsidR="00E84379" w:rsidRPr="0083462B">
        <w:rPr>
          <w:rFonts w:ascii="Times New Roman" w:hAnsi="Times New Roman" w:cs="Times New Roman"/>
          <w:sz w:val="24"/>
          <w:szCs w:val="24"/>
        </w:rPr>
        <w:instrText xml:space="preserve"> REF _Ref387910741 \h </w:instrText>
      </w:r>
      <w:r w:rsidR="0083462B" w:rsidRPr="0083462B">
        <w:rPr>
          <w:rFonts w:ascii="Times New Roman" w:hAnsi="Times New Roman" w:cs="Times New Roman"/>
          <w:sz w:val="24"/>
          <w:szCs w:val="24"/>
        </w:rPr>
        <w:instrText xml:space="preserve"> \* MERGEFORMAT </w:instrText>
      </w:r>
      <w:r w:rsidR="00E84379" w:rsidRPr="0083462B">
        <w:rPr>
          <w:rFonts w:ascii="Times New Roman" w:hAnsi="Times New Roman" w:cs="Times New Roman"/>
          <w:sz w:val="24"/>
          <w:szCs w:val="24"/>
        </w:rPr>
      </w:r>
      <w:r w:rsidR="00E84379" w:rsidRPr="0083462B">
        <w:rPr>
          <w:rFonts w:ascii="Times New Roman" w:hAnsi="Times New Roman" w:cs="Times New Roman"/>
          <w:sz w:val="24"/>
          <w:szCs w:val="24"/>
        </w:rPr>
        <w:fldChar w:fldCharType="separate"/>
      </w:r>
      <w:r w:rsidR="00D83370" w:rsidRPr="00D83370">
        <w:rPr>
          <w:rFonts w:ascii="Times New Roman" w:hAnsi="Times New Roman"/>
          <w:sz w:val="24"/>
        </w:rPr>
        <w:t xml:space="preserve">Figure </w:t>
      </w:r>
      <w:r w:rsidR="00D83370" w:rsidRPr="00D83370">
        <w:rPr>
          <w:rFonts w:ascii="Times New Roman" w:hAnsi="Times New Roman" w:cs="Times New Roman"/>
          <w:noProof/>
          <w:sz w:val="24"/>
          <w:szCs w:val="24"/>
        </w:rPr>
        <w:t>7</w:t>
      </w:r>
      <w:r w:rsidR="00E84379" w:rsidRPr="0083462B">
        <w:rPr>
          <w:rFonts w:ascii="Times New Roman" w:hAnsi="Times New Roman" w:cs="Times New Roman"/>
          <w:sz w:val="24"/>
          <w:szCs w:val="24"/>
        </w:rPr>
        <w:fldChar w:fldCharType="end"/>
      </w:r>
      <w:r w:rsidR="00DF0C7A" w:rsidRPr="0083462B">
        <w:rPr>
          <w:rFonts w:ascii="Times New Roman" w:hAnsi="Times New Roman" w:cs="Times New Roman"/>
          <w:sz w:val="24"/>
          <w:szCs w:val="24"/>
        </w:rPr>
        <w:t>)</w:t>
      </w:r>
      <w:r w:rsidR="0068116D">
        <w:rPr>
          <w:rFonts w:ascii="Times New Roman" w:hAnsi="Times New Roman" w:cs="Times New Roman"/>
          <w:sz w:val="24"/>
          <w:szCs w:val="24"/>
        </w:rPr>
        <w:t>.</w:t>
      </w:r>
      <w:r w:rsidRPr="00FA1E90">
        <w:rPr>
          <w:rFonts w:ascii="Times New Roman" w:hAnsi="Times New Roman" w:cs="Times New Roman"/>
          <w:sz w:val="24"/>
          <w:szCs w:val="24"/>
        </w:rPr>
        <w:t xml:space="preserve"> This difference translates into more or fewer projects needing to be completed to achieve </w:t>
      </w:r>
      <w:r w:rsidR="00F160A8">
        <w:rPr>
          <w:rFonts w:ascii="Times New Roman" w:hAnsi="Times New Roman" w:cs="Times New Roman"/>
          <w:sz w:val="24"/>
          <w:szCs w:val="24"/>
        </w:rPr>
        <w:t>a savings target. Consequently,</w:t>
      </w:r>
      <w:r w:rsidR="00CB1473">
        <w:rPr>
          <w:rFonts w:ascii="Times New Roman" w:hAnsi="Times New Roman" w:cs="Times New Roman"/>
          <w:sz w:val="24"/>
          <w:szCs w:val="24"/>
        </w:rPr>
        <w:t xml:space="preserve"> the evaluator </w:t>
      </w:r>
      <w:r w:rsidRPr="00FA1E90">
        <w:rPr>
          <w:rFonts w:ascii="Times New Roman" w:hAnsi="Times New Roman" w:cs="Times New Roman"/>
          <w:sz w:val="24"/>
          <w:szCs w:val="24"/>
        </w:rPr>
        <w:t xml:space="preserve">is now conducting NTG research on a sample of custom projects as soon as the project is completed to better enable the IC and utility to conclude on how many projects must be closed by program </w:t>
      </w:r>
      <w:r w:rsidR="00CB1473" w:rsidRPr="00FA1E90">
        <w:rPr>
          <w:rFonts w:ascii="Times New Roman" w:hAnsi="Times New Roman" w:cs="Times New Roman"/>
          <w:sz w:val="24"/>
          <w:szCs w:val="24"/>
        </w:rPr>
        <w:t>year-end</w:t>
      </w:r>
      <w:r w:rsidRPr="00FA1E90">
        <w:rPr>
          <w:rFonts w:ascii="Times New Roman" w:hAnsi="Times New Roman" w:cs="Times New Roman"/>
          <w:sz w:val="24"/>
          <w:szCs w:val="24"/>
        </w:rPr>
        <w:t xml:space="preserve"> to meet their net savings target.</w:t>
      </w:r>
      <w:r w:rsidR="0097272F">
        <w:rPr>
          <w:rFonts w:ascii="Times New Roman" w:hAnsi="Times New Roman" w:cs="Times New Roman"/>
          <w:sz w:val="24"/>
          <w:szCs w:val="24"/>
        </w:rPr>
        <w:t xml:space="preserve"> Going forward, the team plans to </w:t>
      </w:r>
      <w:r w:rsidR="0097272F" w:rsidRPr="0097272F">
        <w:rPr>
          <w:rFonts w:ascii="Times New Roman" w:hAnsi="Times New Roman" w:cs="Times New Roman"/>
          <w:sz w:val="24"/>
          <w:szCs w:val="24"/>
        </w:rPr>
        <w:t xml:space="preserve">interview the customer approximately </w:t>
      </w:r>
      <w:r w:rsidR="005409C1">
        <w:rPr>
          <w:rFonts w:ascii="Times New Roman" w:hAnsi="Times New Roman" w:cs="Times New Roman"/>
          <w:sz w:val="24"/>
          <w:szCs w:val="24"/>
        </w:rPr>
        <w:t>four</w:t>
      </w:r>
      <w:r w:rsidR="005409C1" w:rsidRPr="0097272F">
        <w:rPr>
          <w:rFonts w:ascii="Times New Roman" w:hAnsi="Times New Roman" w:cs="Times New Roman"/>
          <w:sz w:val="24"/>
          <w:szCs w:val="24"/>
        </w:rPr>
        <w:t xml:space="preserve"> </w:t>
      </w:r>
      <w:r w:rsidR="0097272F" w:rsidRPr="0097272F">
        <w:rPr>
          <w:rFonts w:ascii="Times New Roman" w:hAnsi="Times New Roman" w:cs="Times New Roman"/>
          <w:sz w:val="24"/>
          <w:szCs w:val="24"/>
        </w:rPr>
        <w:t>weeks after the customer incentive has been approved (which corresponds to the “Pre-Approved” phase of Salesforce</w:t>
      </w:r>
      <w:r w:rsidR="00CB1473">
        <w:rPr>
          <w:rStyle w:val="FootnoteReference"/>
          <w:rFonts w:ascii="Times New Roman" w:hAnsi="Times New Roman" w:cs="Times New Roman"/>
          <w:sz w:val="24"/>
          <w:szCs w:val="24"/>
        </w:rPr>
        <w:footnoteReference w:id="4"/>
      </w:r>
      <w:r w:rsidR="0097272F" w:rsidRPr="0097272F">
        <w:rPr>
          <w:rFonts w:ascii="Times New Roman" w:hAnsi="Times New Roman" w:cs="Times New Roman"/>
          <w:sz w:val="24"/>
          <w:szCs w:val="24"/>
        </w:rPr>
        <w:t xml:space="preserve"> Custom pipeline stages) in order to conduct the free-ridership inquiry close to the time of decision-making.</w:t>
      </w:r>
      <w:r w:rsidR="0097272F">
        <w:rPr>
          <w:rFonts w:ascii="Times New Roman" w:hAnsi="Times New Roman" w:cs="Times New Roman"/>
          <w:sz w:val="24"/>
          <w:szCs w:val="24"/>
        </w:rPr>
        <w:t xml:space="preserve"> </w:t>
      </w:r>
    </w:p>
    <w:p w14:paraId="4FE1FE26" w14:textId="77777777" w:rsidR="005173AB" w:rsidRPr="00FA1E90" w:rsidRDefault="005173AB" w:rsidP="0097272F">
      <w:pPr>
        <w:ind w:firstLine="720"/>
        <w:rPr>
          <w:rFonts w:ascii="Times New Roman" w:hAnsi="Times New Roman" w:cs="Times New Roman"/>
          <w:sz w:val="24"/>
          <w:szCs w:val="24"/>
        </w:rPr>
      </w:pPr>
    </w:p>
    <w:p w14:paraId="02323CA5" w14:textId="77777777" w:rsidR="00E84379" w:rsidRDefault="0082406E" w:rsidP="0097272F">
      <w:r w:rsidRPr="00A0280D">
        <w:rPr>
          <w:rFonts w:ascii="Times New Roman" w:hAnsi="Times New Roman" w:cs="Times New Roman"/>
          <w:noProof/>
          <w:sz w:val="24"/>
          <w:szCs w:val="24"/>
        </w:rPr>
        <w:lastRenderedPageBreak/>
        <w:drawing>
          <wp:inline distT="0" distB="0" distL="0" distR="0" wp14:anchorId="186FDD42" wp14:editId="02748556">
            <wp:extent cx="4373592" cy="2415397"/>
            <wp:effectExtent l="0" t="0" r="27305" b="2349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E4ED8B" w14:textId="7911B4CA" w:rsidR="006D682C" w:rsidRDefault="0082406E" w:rsidP="0097272F">
      <w:pPr>
        <w:ind w:firstLine="90"/>
        <w:rPr>
          <w:rFonts w:ascii="Times New Roman" w:hAnsi="Times New Roman" w:cs="Times New Roman"/>
          <w:sz w:val="24"/>
          <w:szCs w:val="24"/>
        </w:rPr>
      </w:pPr>
      <w:bookmarkStart w:id="12" w:name="_Ref387910741"/>
      <w:r w:rsidRPr="006D682C">
        <w:rPr>
          <w:rFonts w:ascii="Times New Roman" w:hAnsi="Times New Roman"/>
          <w:b/>
          <w:sz w:val="24"/>
        </w:rPr>
        <w:t xml:space="preserve">Figure </w:t>
      </w:r>
      <w:r w:rsidRPr="006D682C">
        <w:rPr>
          <w:rFonts w:ascii="Times New Roman" w:hAnsi="Times New Roman"/>
          <w:b/>
          <w:sz w:val="24"/>
        </w:rPr>
        <w:fldChar w:fldCharType="begin"/>
      </w:r>
      <w:r w:rsidRPr="006D682C">
        <w:rPr>
          <w:rFonts w:ascii="Times New Roman" w:hAnsi="Times New Roman" w:cs="Times New Roman"/>
          <w:b/>
          <w:sz w:val="24"/>
          <w:szCs w:val="24"/>
        </w:rPr>
        <w:instrText xml:space="preserve"> SEQ Figure \* ARABIC </w:instrText>
      </w:r>
      <w:r w:rsidRPr="006D682C">
        <w:rPr>
          <w:rFonts w:ascii="Times New Roman" w:hAnsi="Times New Roman"/>
          <w:b/>
          <w:sz w:val="24"/>
        </w:rPr>
        <w:fldChar w:fldCharType="separate"/>
      </w:r>
      <w:r w:rsidR="00D83370">
        <w:rPr>
          <w:rFonts w:ascii="Times New Roman" w:hAnsi="Times New Roman" w:cs="Times New Roman"/>
          <w:b/>
          <w:noProof/>
          <w:sz w:val="24"/>
          <w:szCs w:val="24"/>
        </w:rPr>
        <w:t>7</w:t>
      </w:r>
      <w:r w:rsidRPr="006D682C">
        <w:rPr>
          <w:rFonts w:ascii="Times New Roman" w:hAnsi="Times New Roman"/>
          <w:b/>
          <w:sz w:val="24"/>
        </w:rPr>
        <w:fldChar w:fldCharType="end"/>
      </w:r>
      <w:bookmarkEnd w:id="12"/>
      <w:r w:rsidR="006F2AFF">
        <w:rPr>
          <w:rFonts w:ascii="Times New Roman" w:hAnsi="Times New Roman" w:cs="Times New Roman"/>
          <w:b/>
          <w:sz w:val="24"/>
          <w:szCs w:val="24"/>
        </w:rPr>
        <w:t>.</w:t>
      </w:r>
      <w:r w:rsidRPr="00A0280D">
        <w:rPr>
          <w:rFonts w:ascii="Times New Roman" w:hAnsi="Times New Roman"/>
          <w:sz w:val="24"/>
        </w:rPr>
        <w:t xml:space="preserve"> </w:t>
      </w:r>
      <w:r w:rsidRPr="001A067F">
        <w:rPr>
          <w:rFonts w:ascii="Times New Roman" w:hAnsi="Times New Roman" w:cs="Times New Roman"/>
          <w:sz w:val="24"/>
          <w:szCs w:val="24"/>
        </w:rPr>
        <w:t>Custom Program NTGRs for PY1, PY2 and Partial PY3</w:t>
      </w:r>
    </w:p>
    <w:p w14:paraId="2BDFD312" w14:textId="77777777" w:rsidR="005173AB" w:rsidRDefault="005173AB" w:rsidP="006D682C">
      <w:pPr>
        <w:ind w:firstLine="90"/>
        <w:rPr>
          <w:rFonts w:ascii="Times New Roman" w:hAnsi="Times New Roman" w:cs="Times New Roman"/>
          <w:sz w:val="24"/>
          <w:szCs w:val="24"/>
        </w:rPr>
      </w:pPr>
    </w:p>
    <w:p w14:paraId="1D3389FB" w14:textId="6192C566" w:rsidR="00DF0C7A" w:rsidRDefault="00DF0C7A" w:rsidP="006D682C">
      <w:pPr>
        <w:ind w:firstLine="720"/>
        <w:rPr>
          <w:rFonts w:ascii="Times New Roman" w:hAnsi="Times New Roman" w:cs="Times New Roman"/>
          <w:sz w:val="24"/>
          <w:szCs w:val="24"/>
        </w:rPr>
      </w:pPr>
      <w:r w:rsidRPr="00FA1E90">
        <w:rPr>
          <w:rFonts w:ascii="Times New Roman" w:hAnsi="Times New Roman" w:cs="Times New Roman"/>
          <w:sz w:val="24"/>
          <w:szCs w:val="24"/>
        </w:rPr>
        <w:t>By the end of April 2014, whi</w:t>
      </w:r>
      <w:r w:rsidR="00F160A8">
        <w:rPr>
          <w:rFonts w:ascii="Times New Roman" w:hAnsi="Times New Roman" w:cs="Times New Roman"/>
          <w:sz w:val="24"/>
          <w:szCs w:val="24"/>
        </w:rPr>
        <w:t>ch is one month before PY3 year-</w:t>
      </w:r>
      <w:r w:rsidRPr="00FA1E90">
        <w:rPr>
          <w:rFonts w:ascii="Times New Roman" w:hAnsi="Times New Roman" w:cs="Times New Roman"/>
          <w:sz w:val="24"/>
          <w:szCs w:val="24"/>
        </w:rPr>
        <w:t>end, Navigant had conducted interviews with</w:t>
      </w:r>
      <w:r>
        <w:rPr>
          <w:rFonts w:ascii="Times New Roman" w:hAnsi="Times New Roman" w:cs="Times New Roman"/>
          <w:sz w:val="24"/>
          <w:szCs w:val="24"/>
        </w:rPr>
        <w:t xml:space="preserve"> seven</w:t>
      </w:r>
      <w:r w:rsidRPr="00FA1E90">
        <w:rPr>
          <w:rFonts w:ascii="Times New Roman" w:hAnsi="Times New Roman" w:cs="Times New Roman"/>
          <w:sz w:val="24"/>
          <w:szCs w:val="24"/>
        </w:rPr>
        <w:t xml:space="preserve"> participants </w:t>
      </w:r>
      <w:r w:rsidR="005409C1">
        <w:rPr>
          <w:rFonts w:ascii="Times New Roman" w:hAnsi="Times New Roman" w:cs="Times New Roman"/>
          <w:sz w:val="24"/>
          <w:szCs w:val="24"/>
        </w:rPr>
        <w:t>a</w:t>
      </w:r>
      <w:r w:rsidRPr="00FA1E90">
        <w:rPr>
          <w:rFonts w:ascii="Times New Roman" w:hAnsi="Times New Roman" w:cs="Times New Roman"/>
          <w:sz w:val="24"/>
          <w:szCs w:val="24"/>
        </w:rPr>
        <w:t>nd two of their contractors</w:t>
      </w:r>
      <w:r w:rsidR="005409C1">
        <w:rPr>
          <w:rFonts w:ascii="Times New Roman" w:hAnsi="Times New Roman" w:cs="Times New Roman"/>
          <w:sz w:val="24"/>
          <w:szCs w:val="24"/>
        </w:rPr>
        <w:t xml:space="preserve"> </w:t>
      </w:r>
      <w:r w:rsidRPr="00FA1E90">
        <w:rPr>
          <w:rFonts w:ascii="Times New Roman" w:hAnsi="Times New Roman" w:cs="Times New Roman"/>
          <w:sz w:val="24"/>
          <w:szCs w:val="24"/>
        </w:rPr>
        <w:t xml:space="preserve">to obtain an early indication of the PY3 NTGR. These participants’ projects represented 67% of </w:t>
      </w:r>
      <w:r>
        <w:rPr>
          <w:rFonts w:ascii="Times New Roman" w:hAnsi="Times New Roman" w:cs="Times New Roman"/>
          <w:sz w:val="24"/>
          <w:szCs w:val="24"/>
        </w:rPr>
        <w:t xml:space="preserve">total program </w:t>
      </w:r>
      <w:r w:rsidRPr="00FA1E90">
        <w:rPr>
          <w:rFonts w:ascii="Times New Roman" w:hAnsi="Times New Roman" w:cs="Times New Roman"/>
          <w:sz w:val="24"/>
          <w:szCs w:val="24"/>
        </w:rPr>
        <w:t xml:space="preserve">savings through April 2014 and were projected to account </w:t>
      </w:r>
      <w:r w:rsidRPr="005F37BA">
        <w:rPr>
          <w:rFonts w:ascii="Times New Roman" w:hAnsi="Times New Roman" w:cs="Times New Roman"/>
          <w:sz w:val="24"/>
          <w:szCs w:val="24"/>
        </w:rPr>
        <w:t xml:space="preserve">for </w:t>
      </w:r>
      <w:r w:rsidR="005F37BA" w:rsidRPr="005F37BA">
        <w:rPr>
          <w:rFonts w:ascii="Times New Roman" w:hAnsi="Times New Roman" w:cs="Times New Roman"/>
          <w:sz w:val="24"/>
          <w:szCs w:val="24"/>
        </w:rPr>
        <w:t>18</w:t>
      </w:r>
      <w:r w:rsidRPr="005F37BA">
        <w:rPr>
          <w:rFonts w:ascii="Times New Roman" w:hAnsi="Times New Roman" w:cs="Times New Roman"/>
          <w:sz w:val="24"/>
          <w:szCs w:val="24"/>
        </w:rPr>
        <w:t>% of total savings for PY3. In contrast</w:t>
      </w:r>
      <w:r w:rsidRPr="00FA1E90">
        <w:rPr>
          <w:rFonts w:ascii="Times New Roman" w:hAnsi="Times New Roman" w:cs="Times New Roman"/>
          <w:sz w:val="24"/>
          <w:szCs w:val="24"/>
        </w:rPr>
        <w:t xml:space="preserve">, in PY1 and PY2 participants interviewed had </w:t>
      </w:r>
      <w:r w:rsidR="005F37BA">
        <w:rPr>
          <w:rFonts w:ascii="Times New Roman" w:hAnsi="Times New Roman" w:cs="Times New Roman"/>
          <w:sz w:val="24"/>
          <w:szCs w:val="24"/>
        </w:rPr>
        <w:t>completed</w:t>
      </w:r>
      <w:r w:rsidRPr="00FA1E90">
        <w:rPr>
          <w:rFonts w:ascii="Times New Roman" w:hAnsi="Times New Roman" w:cs="Times New Roman"/>
          <w:sz w:val="24"/>
          <w:szCs w:val="24"/>
        </w:rPr>
        <w:t xml:space="preserve"> projects that account for 77% and 81%, respectively</w:t>
      </w:r>
      <w:r>
        <w:rPr>
          <w:rFonts w:ascii="Times New Roman" w:hAnsi="Times New Roman" w:cs="Times New Roman"/>
          <w:sz w:val="24"/>
          <w:szCs w:val="24"/>
        </w:rPr>
        <w:t xml:space="preserve"> of total program savings</w:t>
      </w:r>
      <w:r w:rsidRPr="00FA1E90">
        <w:rPr>
          <w:rFonts w:ascii="Times New Roman" w:hAnsi="Times New Roman" w:cs="Times New Roman"/>
          <w:sz w:val="24"/>
          <w:szCs w:val="24"/>
        </w:rPr>
        <w:t xml:space="preserve">. </w:t>
      </w:r>
      <w:r>
        <w:rPr>
          <w:rFonts w:ascii="Times New Roman" w:hAnsi="Times New Roman" w:cs="Times New Roman"/>
          <w:sz w:val="24"/>
          <w:szCs w:val="24"/>
        </w:rPr>
        <w:t xml:space="preserve">Navigant anticipates that we could need to conduct up to another </w:t>
      </w:r>
      <w:r w:rsidR="005F37BA">
        <w:rPr>
          <w:rFonts w:ascii="Times New Roman" w:hAnsi="Times New Roman" w:cs="Times New Roman"/>
          <w:sz w:val="24"/>
          <w:szCs w:val="24"/>
        </w:rPr>
        <w:t>twenty</w:t>
      </w:r>
      <w:r>
        <w:rPr>
          <w:rFonts w:ascii="Times New Roman" w:hAnsi="Times New Roman" w:cs="Times New Roman"/>
          <w:sz w:val="24"/>
          <w:szCs w:val="24"/>
        </w:rPr>
        <w:t xml:space="preserve"> interviews ov</w:t>
      </w:r>
      <w:r w:rsidR="00F160A8">
        <w:rPr>
          <w:rFonts w:ascii="Times New Roman" w:hAnsi="Times New Roman" w:cs="Times New Roman"/>
          <w:sz w:val="24"/>
          <w:szCs w:val="24"/>
        </w:rPr>
        <w:t xml:space="preserve">er the next four weeks to </w:t>
      </w:r>
      <w:r>
        <w:rPr>
          <w:rFonts w:ascii="Times New Roman" w:hAnsi="Times New Roman" w:cs="Times New Roman"/>
          <w:sz w:val="24"/>
          <w:szCs w:val="24"/>
        </w:rPr>
        <w:t>complete our PY3 research.</w:t>
      </w:r>
    </w:p>
    <w:p w14:paraId="5D4110B6" w14:textId="77777777" w:rsidR="00D93B76" w:rsidRDefault="00D93B76" w:rsidP="00A0280D">
      <w:pPr>
        <w:ind w:firstLine="720"/>
        <w:rPr>
          <w:rFonts w:ascii="Times New Roman" w:hAnsi="Times New Roman" w:cs="Times New Roman"/>
          <w:sz w:val="24"/>
          <w:szCs w:val="24"/>
        </w:rPr>
      </w:pPr>
      <w:r w:rsidRPr="00FA1E90">
        <w:rPr>
          <w:rFonts w:ascii="Times New Roman" w:hAnsi="Times New Roman" w:cs="Times New Roman"/>
          <w:sz w:val="24"/>
          <w:szCs w:val="24"/>
        </w:rPr>
        <w:t xml:space="preserve">The initial interviews for PY3 yielded a </w:t>
      </w:r>
      <w:r w:rsidRPr="00BD3683">
        <w:rPr>
          <w:rFonts w:ascii="Times New Roman" w:hAnsi="Times New Roman" w:cs="Times New Roman"/>
          <w:sz w:val="24"/>
          <w:szCs w:val="24"/>
        </w:rPr>
        <w:t xml:space="preserve">NTGR of </w:t>
      </w:r>
      <w:r w:rsidR="00CB1047" w:rsidRPr="00BD3683">
        <w:rPr>
          <w:rFonts w:ascii="Times New Roman" w:hAnsi="Times New Roman" w:cs="Times New Roman"/>
          <w:sz w:val="24"/>
          <w:szCs w:val="24"/>
        </w:rPr>
        <w:t>70</w:t>
      </w:r>
      <w:r w:rsidRPr="00BD3683">
        <w:rPr>
          <w:rFonts w:ascii="Times New Roman" w:hAnsi="Times New Roman" w:cs="Times New Roman"/>
          <w:sz w:val="24"/>
          <w:szCs w:val="24"/>
        </w:rPr>
        <w:t xml:space="preserve">%, about at the PY2 level and well above the PY1 level. Navigant expects to complete </w:t>
      </w:r>
      <w:r w:rsidR="001A067F" w:rsidRPr="00BD3683">
        <w:rPr>
          <w:rFonts w:ascii="Times New Roman" w:hAnsi="Times New Roman" w:cs="Times New Roman"/>
          <w:sz w:val="24"/>
          <w:szCs w:val="24"/>
        </w:rPr>
        <w:t>up to another 10</w:t>
      </w:r>
      <w:r w:rsidRPr="00BD3683">
        <w:rPr>
          <w:rFonts w:ascii="Times New Roman" w:hAnsi="Times New Roman" w:cs="Times New Roman"/>
          <w:sz w:val="24"/>
          <w:szCs w:val="24"/>
        </w:rPr>
        <w:t xml:space="preserve"> interview</w:t>
      </w:r>
      <w:r w:rsidR="001A067F" w:rsidRPr="00BD3683">
        <w:rPr>
          <w:rFonts w:ascii="Times New Roman" w:hAnsi="Times New Roman" w:cs="Times New Roman"/>
          <w:sz w:val="24"/>
          <w:szCs w:val="24"/>
        </w:rPr>
        <w:t>s, depending on targeted projects sizes,</w:t>
      </w:r>
      <w:r w:rsidRPr="00BD3683">
        <w:rPr>
          <w:rFonts w:ascii="Times New Roman" w:hAnsi="Times New Roman" w:cs="Times New Roman"/>
          <w:sz w:val="24"/>
          <w:szCs w:val="24"/>
        </w:rPr>
        <w:t xml:space="preserve"> in the next </w:t>
      </w:r>
      <w:r w:rsidR="001A067F" w:rsidRPr="00BD3683">
        <w:rPr>
          <w:rFonts w:ascii="Times New Roman" w:hAnsi="Times New Roman" w:cs="Times New Roman"/>
          <w:sz w:val="24"/>
          <w:szCs w:val="24"/>
        </w:rPr>
        <w:t>four</w:t>
      </w:r>
      <w:r w:rsidR="009D1630" w:rsidRPr="00BD3683">
        <w:rPr>
          <w:rFonts w:ascii="Times New Roman" w:hAnsi="Times New Roman" w:cs="Times New Roman"/>
          <w:sz w:val="24"/>
          <w:szCs w:val="24"/>
        </w:rPr>
        <w:t xml:space="preserve"> weeks to finalize the</w:t>
      </w:r>
      <w:r w:rsidR="009D1630" w:rsidRPr="00FA1E90">
        <w:rPr>
          <w:rFonts w:ascii="Times New Roman" w:hAnsi="Times New Roman" w:cs="Times New Roman"/>
          <w:sz w:val="24"/>
          <w:szCs w:val="24"/>
        </w:rPr>
        <w:t xml:space="preserve"> NTGR, however, so there is still some risk of it changing.</w:t>
      </w:r>
    </w:p>
    <w:p w14:paraId="729A3885" w14:textId="77777777" w:rsidR="006B105A" w:rsidRDefault="006B105A" w:rsidP="00A0280D">
      <w:pPr>
        <w:ind w:firstLine="720"/>
        <w:rPr>
          <w:rFonts w:ascii="Times New Roman" w:hAnsi="Times New Roman" w:cs="Times New Roman"/>
          <w:sz w:val="24"/>
          <w:szCs w:val="24"/>
        </w:rPr>
      </w:pPr>
    </w:p>
    <w:p w14:paraId="4F11F999" w14:textId="7807E7AE" w:rsidR="006B105A" w:rsidRPr="00A863CA" w:rsidRDefault="008434A2" w:rsidP="006B105A">
      <w:pPr>
        <w:rPr>
          <w:rFonts w:ascii="Times New Roman" w:hAnsi="Times New Roman" w:cs="Times New Roman"/>
          <w:b/>
          <w:sz w:val="24"/>
          <w:szCs w:val="24"/>
        </w:rPr>
      </w:pPr>
      <w:r w:rsidRPr="00A863CA">
        <w:rPr>
          <w:rFonts w:ascii="Times New Roman" w:hAnsi="Times New Roman" w:cs="Times New Roman"/>
          <w:b/>
          <w:sz w:val="28"/>
          <w:szCs w:val="28"/>
        </w:rPr>
        <w:t xml:space="preserve">Potential </w:t>
      </w:r>
      <w:r w:rsidR="001F14DA">
        <w:rPr>
          <w:rFonts w:ascii="Times New Roman" w:hAnsi="Times New Roman" w:cs="Times New Roman"/>
          <w:b/>
          <w:sz w:val="28"/>
          <w:szCs w:val="28"/>
        </w:rPr>
        <w:t>I</w:t>
      </w:r>
      <w:r w:rsidRPr="00A863CA">
        <w:rPr>
          <w:rFonts w:ascii="Times New Roman" w:hAnsi="Times New Roman" w:cs="Times New Roman"/>
          <w:b/>
          <w:sz w:val="28"/>
          <w:szCs w:val="28"/>
        </w:rPr>
        <w:t xml:space="preserve">ssues in the Early Review </w:t>
      </w:r>
      <w:r w:rsidR="001F14DA">
        <w:rPr>
          <w:rFonts w:ascii="Times New Roman" w:hAnsi="Times New Roman" w:cs="Times New Roman"/>
          <w:b/>
          <w:sz w:val="28"/>
          <w:szCs w:val="28"/>
        </w:rPr>
        <w:t>P</w:t>
      </w:r>
      <w:r w:rsidRPr="00A863CA">
        <w:rPr>
          <w:rFonts w:ascii="Times New Roman" w:hAnsi="Times New Roman" w:cs="Times New Roman"/>
          <w:b/>
          <w:sz w:val="28"/>
          <w:szCs w:val="28"/>
        </w:rPr>
        <w:t>rocess</w:t>
      </w:r>
    </w:p>
    <w:p w14:paraId="5ED9DDE7" w14:textId="183BB827" w:rsidR="00F622A5" w:rsidRPr="00A863CA" w:rsidRDefault="004660CD" w:rsidP="00A863CA">
      <w:pPr>
        <w:ind w:firstLine="720"/>
        <w:rPr>
          <w:rFonts w:ascii="Times New Roman" w:hAnsi="Times New Roman" w:cs="Times New Roman"/>
          <w:sz w:val="24"/>
          <w:szCs w:val="24"/>
        </w:rPr>
      </w:pPr>
      <w:r w:rsidRPr="004660CD">
        <w:rPr>
          <w:rFonts w:ascii="Times New Roman" w:hAnsi="Times New Roman" w:cs="Times New Roman"/>
          <w:sz w:val="24"/>
          <w:szCs w:val="24"/>
        </w:rPr>
        <w:t xml:space="preserve">The Nicor Gas </w:t>
      </w:r>
      <w:r>
        <w:rPr>
          <w:rFonts w:ascii="Times New Roman" w:hAnsi="Times New Roman" w:cs="Times New Roman"/>
          <w:sz w:val="24"/>
          <w:szCs w:val="24"/>
        </w:rPr>
        <w:t>T</w:t>
      </w:r>
      <w:r w:rsidR="00F622A5" w:rsidRPr="00A863CA">
        <w:rPr>
          <w:rFonts w:ascii="Times New Roman" w:hAnsi="Times New Roman" w:cs="Times New Roman"/>
          <w:sz w:val="24"/>
          <w:szCs w:val="24"/>
        </w:rPr>
        <w:t xml:space="preserve">eam’s experience is that the potential issues with the early review process are fairly limited and manageable. </w:t>
      </w:r>
    </w:p>
    <w:p w14:paraId="26BBDDCD" w14:textId="04661BCB" w:rsidR="00F622A5" w:rsidRDefault="001F14DA" w:rsidP="00A863C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To manage expectations, i</w:t>
      </w:r>
      <w:r w:rsidR="00F622A5" w:rsidRPr="00A863CA">
        <w:rPr>
          <w:rFonts w:ascii="Times New Roman" w:hAnsi="Times New Roman" w:cs="Times New Roman"/>
          <w:sz w:val="24"/>
          <w:szCs w:val="24"/>
        </w:rPr>
        <w:t>t is</w:t>
      </w:r>
      <w:r w:rsidR="00F622A5" w:rsidRPr="00F622A5">
        <w:rPr>
          <w:rFonts w:ascii="Times New Roman" w:hAnsi="Times New Roman" w:cs="Times New Roman"/>
          <w:sz w:val="24"/>
          <w:szCs w:val="24"/>
        </w:rPr>
        <w:t xml:space="preserve"> essential that the evaluator </w:t>
      </w:r>
      <w:r w:rsidR="00F622A5">
        <w:rPr>
          <w:rFonts w:ascii="Times New Roman" w:hAnsi="Times New Roman" w:cs="Times New Roman"/>
          <w:sz w:val="24"/>
          <w:szCs w:val="24"/>
        </w:rPr>
        <w:t>state</w:t>
      </w:r>
      <w:r w:rsidR="00F622A5" w:rsidRPr="00A863CA">
        <w:rPr>
          <w:rFonts w:ascii="Times New Roman" w:hAnsi="Times New Roman" w:cs="Times New Roman"/>
          <w:sz w:val="24"/>
          <w:szCs w:val="24"/>
        </w:rPr>
        <w:t xml:space="preserve"> clear</w:t>
      </w:r>
      <w:r w:rsidR="00F622A5">
        <w:rPr>
          <w:rFonts w:ascii="Times New Roman" w:hAnsi="Times New Roman" w:cs="Times New Roman"/>
          <w:sz w:val="24"/>
          <w:szCs w:val="24"/>
        </w:rPr>
        <w:t>ly to the</w:t>
      </w:r>
      <w:r>
        <w:rPr>
          <w:rFonts w:ascii="Times New Roman" w:hAnsi="Times New Roman" w:cs="Times New Roman"/>
          <w:sz w:val="24"/>
          <w:szCs w:val="24"/>
        </w:rPr>
        <w:t xml:space="preserve"> utility and the</w:t>
      </w:r>
      <w:r w:rsidR="00F622A5">
        <w:rPr>
          <w:rFonts w:ascii="Times New Roman" w:hAnsi="Times New Roman" w:cs="Times New Roman"/>
          <w:sz w:val="24"/>
          <w:szCs w:val="24"/>
        </w:rPr>
        <w:t xml:space="preserve"> IC</w:t>
      </w:r>
      <w:r w:rsidR="00F622A5" w:rsidRPr="00A863CA">
        <w:rPr>
          <w:rFonts w:ascii="Times New Roman" w:hAnsi="Times New Roman" w:cs="Times New Roman"/>
          <w:sz w:val="24"/>
          <w:szCs w:val="24"/>
        </w:rPr>
        <w:t xml:space="preserve"> at the beginning</w:t>
      </w:r>
      <w:r w:rsidR="00F622A5">
        <w:rPr>
          <w:rFonts w:ascii="Times New Roman" w:hAnsi="Times New Roman" w:cs="Times New Roman"/>
          <w:sz w:val="24"/>
          <w:szCs w:val="24"/>
        </w:rPr>
        <w:t xml:space="preserve"> of the process</w:t>
      </w:r>
      <w:r w:rsidR="00F622A5" w:rsidRPr="00A863CA">
        <w:rPr>
          <w:rFonts w:ascii="Times New Roman" w:hAnsi="Times New Roman" w:cs="Times New Roman"/>
          <w:sz w:val="24"/>
          <w:szCs w:val="24"/>
        </w:rPr>
        <w:t xml:space="preserve"> that the early review does not eliminate all uncertainty and guarantee a RR </w:t>
      </w:r>
      <w:r>
        <w:rPr>
          <w:rFonts w:ascii="Times New Roman" w:hAnsi="Times New Roman" w:cs="Times New Roman"/>
          <w:sz w:val="24"/>
          <w:szCs w:val="24"/>
        </w:rPr>
        <w:t>(</w:t>
      </w:r>
      <w:r w:rsidR="00F622A5" w:rsidRPr="00A863CA">
        <w:rPr>
          <w:rFonts w:ascii="Times New Roman" w:hAnsi="Times New Roman" w:cs="Times New Roman"/>
          <w:sz w:val="24"/>
          <w:szCs w:val="24"/>
        </w:rPr>
        <w:t>or NTGR of 1.0</w:t>
      </w:r>
      <w:r>
        <w:rPr>
          <w:rFonts w:ascii="Times New Roman" w:hAnsi="Times New Roman" w:cs="Times New Roman"/>
          <w:sz w:val="24"/>
          <w:szCs w:val="24"/>
        </w:rPr>
        <w:t xml:space="preserve">.) The process reduces the </w:t>
      </w:r>
      <w:r w:rsidR="004660CD">
        <w:rPr>
          <w:rFonts w:ascii="Times New Roman" w:hAnsi="Times New Roman" w:cs="Times New Roman"/>
          <w:sz w:val="24"/>
          <w:szCs w:val="24"/>
        </w:rPr>
        <w:t>verified gross savings surprises,</w:t>
      </w:r>
      <w:r>
        <w:rPr>
          <w:rFonts w:ascii="Times New Roman" w:hAnsi="Times New Roman" w:cs="Times New Roman"/>
          <w:sz w:val="24"/>
          <w:szCs w:val="24"/>
        </w:rPr>
        <w:t xml:space="preserve"> but it does not guarantee </w:t>
      </w:r>
      <w:r w:rsidR="004660CD">
        <w:rPr>
          <w:rFonts w:ascii="Times New Roman" w:hAnsi="Times New Roman" w:cs="Times New Roman"/>
          <w:sz w:val="24"/>
          <w:szCs w:val="24"/>
        </w:rPr>
        <w:t>specific</w:t>
      </w:r>
      <w:r>
        <w:rPr>
          <w:rFonts w:ascii="Times New Roman" w:hAnsi="Times New Roman" w:cs="Times New Roman"/>
          <w:sz w:val="24"/>
          <w:szCs w:val="24"/>
        </w:rPr>
        <w:t xml:space="preserve"> results since the evaluator will review the project anew under the circumstances in place after project completion.</w:t>
      </w:r>
      <w:r w:rsidR="00CB1473">
        <w:rPr>
          <w:rFonts w:ascii="Times New Roman" w:hAnsi="Times New Roman" w:cs="Times New Roman"/>
          <w:sz w:val="24"/>
          <w:szCs w:val="24"/>
        </w:rPr>
        <w:t xml:space="preserve"> </w:t>
      </w:r>
      <w:r w:rsidR="00F622A5">
        <w:rPr>
          <w:rFonts w:ascii="Times New Roman" w:hAnsi="Times New Roman" w:cs="Times New Roman"/>
          <w:sz w:val="24"/>
          <w:szCs w:val="24"/>
        </w:rPr>
        <w:t>This is some ad</w:t>
      </w:r>
      <w:r>
        <w:rPr>
          <w:rFonts w:ascii="Times New Roman" w:hAnsi="Times New Roman" w:cs="Times New Roman"/>
          <w:sz w:val="24"/>
          <w:szCs w:val="24"/>
        </w:rPr>
        <w:t>ditional upfront cost due to the</w:t>
      </w:r>
      <w:r w:rsidR="00F622A5">
        <w:rPr>
          <w:rFonts w:ascii="Times New Roman" w:hAnsi="Times New Roman" w:cs="Times New Roman"/>
          <w:sz w:val="24"/>
          <w:szCs w:val="24"/>
        </w:rPr>
        <w:t xml:space="preserve"> frequent communication between the IC and evaluator, which has the potential to inc</w:t>
      </w:r>
      <w:r>
        <w:rPr>
          <w:rFonts w:ascii="Times New Roman" w:hAnsi="Times New Roman" w:cs="Times New Roman"/>
          <w:sz w:val="24"/>
          <w:szCs w:val="24"/>
        </w:rPr>
        <w:t xml:space="preserve">rease the evaluation cost. An increase </w:t>
      </w:r>
      <w:r w:rsidR="00F622A5">
        <w:rPr>
          <w:rFonts w:ascii="Times New Roman" w:hAnsi="Times New Roman" w:cs="Times New Roman"/>
          <w:sz w:val="24"/>
          <w:szCs w:val="24"/>
        </w:rPr>
        <w:t xml:space="preserve">is not a certainty, however, because the </w:t>
      </w:r>
      <w:r w:rsidR="00A368DD">
        <w:rPr>
          <w:rFonts w:ascii="Times New Roman" w:hAnsi="Times New Roman" w:cs="Times New Roman"/>
          <w:sz w:val="24"/>
          <w:szCs w:val="24"/>
        </w:rPr>
        <w:t>time-savings at yearend in finalizing the report are</w:t>
      </w:r>
      <w:r w:rsidR="00F622A5">
        <w:rPr>
          <w:rFonts w:ascii="Times New Roman" w:hAnsi="Times New Roman" w:cs="Times New Roman"/>
          <w:sz w:val="24"/>
          <w:szCs w:val="24"/>
        </w:rPr>
        <w:t xml:space="preserve"> considerable</w:t>
      </w:r>
      <w:r>
        <w:rPr>
          <w:rFonts w:ascii="Times New Roman" w:hAnsi="Times New Roman" w:cs="Times New Roman"/>
          <w:sz w:val="24"/>
          <w:szCs w:val="24"/>
        </w:rPr>
        <w:t xml:space="preserve"> and may more than offset the additional communication</w:t>
      </w:r>
      <w:r w:rsidR="004660CD">
        <w:rPr>
          <w:rFonts w:ascii="Times New Roman" w:hAnsi="Times New Roman" w:cs="Times New Roman"/>
          <w:sz w:val="24"/>
          <w:szCs w:val="24"/>
        </w:rPr>
        <w:t>s</w:t>
      </w:r>
      <w:r>
        <w:rPr>
          <w:rFonts w:ascii="Times New Roman" w:hAnsi="Times New Roman" w:cs="Times New Roman"/>
          <w:sz w:val="24"/>
          <w:szCs w:val="24"/>
        </w:rPr>
        <w:t xml:space="preserve"> cost</w:t>
      </w:r>
      <w:r w:rsidR="00F622A5">
        <w:rPr>
          <w:rFonts w:ascii="Times New Roman" w:hAnsi="Times New Roman" w:cs="Times New Roman"/>
          <w:sz w:val="24"/>
          <w:szCs w:val="24"/>
        </w:rPr>
        <w:t>.</w:t>
      </w:r>
    </w:p>
    <w:p w14:paraId="20763098" w14:textId="5C44EDC5" w:rsidR="001F14DA" w:rsidRPr="00A863CA" w:rsidRDefault="001F14DA" w:rsidP="00A863C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While there is considerable back and forth between the IC and the evaluator about appropriate baselines and savings </w:t>
      </w:r>
      <w:r w:rsidR="00CB1473">
        <w:rPr>
          <w:rFonts w:ascii="Times New Roman" w:hAnsi="Times New Roman" w:cs="Times New Roman"/>
          <w:sz w:val="24"/>
          <w:szCs w:val="24"/>
        </w:rPr>
        <w:t>estimation</w:t>
      </w:r>
      <w:r>
        <w:rPr>
          <w:rFonts w:ascii="Times New Roman" w:hAnsi="Times New Roman" w:cs="Times New Roman"/>
          <w:sz w:val="24"/>
          <w:szCs w:val="24"/>
        </w:rPr>
        <w:t xml:space="preserve"> approaches, it should be clear to the IC that the evaluator has the final say in determining savings levels. In this evaluator’s experience, the ICs have understood and accepted this</w:t>
      </w:r>
      <w:r w:rsidR="004660CD">
        <w:rPr>
          <w:rFonts w:ascii="Times New Roman" w:hAnsi="Times New Roman" w:cs="Times New Roman"/>
          <w:sz w:val="24"/>
          <w:szCs w:val="24"/>
        </w:rPr>
        <w:t>,</w:t>
      </w:r>
      <w:r>
        <w:rPr>
          <w:rFonts w:ascii="Times New Roman" w:hAnsi="Times New Roman" w:cs="Times New Roman"/>
          <w:sz w:val="24"/>
          <w:szCs w:val="24"/>
        </w:rPr>
        <w:t xml:space="preserve"> and it has not been an issue even when there is an extended discussion of the matter.</w:t>
      </w:r>
      <w:r w:rsidR="004660CD">
        <w:rPr>
          <w:rFonts w:ascii="Times New Roman" w:hAnsi="Times New Roman" w:cs="Times New Roman"/>
          <w:sz w:val="24"/>
          <w:szCs w:val="24"/>
        </w:rPr>
        <w:t xml:space="preserve"> On the contrary, the IC appreciates the opportunity to argue their case.</w:t>
      </w:r>
    </w:p>
    <w:p w14:paraId="025F5D77" w14:textId="77777777" w:rsidR="00A368DD" w:rsidRDefault="00A368DD" w:rsidP="00A0280D">
      <w:pPr>
        <w:rPr>
          <w:rFonts w:ascii="Times New Roman" w:hAnsi="Times New Roman" w:cs="Times New Roman"/>
          <w:b/>
          <w:sz w:val="28"/>
          <w:szCs w:val="28"/>
        </w:rPr>
      </w:pPr>
    </w:p>
    <w:p w14:paraId="242B0E9B" w14:textId="77777777" w:rsidR="004A29CF" w:rsidRPr="00577DAA" w:rsidRDefault="004A29CF" w:rsidP="00A0280D">
      <w:pPr>
        <w:rPr>
          <w:rFonts w:ascii="Times New Roman" w:hAnsi="Times New Roman" w:cs="Times New Roman"/>
          <w:b/>
          <w:sz w:val="28"/>
          <w:szCs w:val="28"/>
        </w:rPr>
      </w:pPr>
      <w:r w:rsidRPr="00577DAA">
        <w:rPr>
          <w:rFonts w:ascii="Times New Roman" w:hAnsi="Times New Roman" w:cs="Times New Roman"/>
          <w:b/>
          <w:sz w:val="28"/>
          <w:szCs w:val="28"/>
        </w:rPr>
        <w:t>Conclusions</w:t>
      </w:r>
    </w:p>
    <w:p w14:paraId="22DC06C9" w14:textId="6FB43148" w:rsidR="003E3B48" w:rsidRPr="00FA1E90" w:rsidRDefault="004A29CF" w:rsidP="00A0280D">
      <w:pPr>
        <w:ind w:firstLine="720"/>
        <w:rPr>
          <w:rFonts w:ascii="Times New Roman" w:hAnsi="Times New Roman" w:cs="Times New Roman"/>
          <w:sz w:val="24"/>
          <w:szCs w:val="24"/>
        </w:rPr>
      </w:pPr>
      <w:r w:rsidRPr="00FA1E90">
        <w:rPr>
          <w:rFonts w:ascii="Times New Roman" w:hAnsi="Times New Roman" w:cs="Times New Roman"/>
          <w:sz w:val="24"/>
          <w:szCs w:val="24"/>
        </w:rPr>
        <w:lastRenderedPageBreak/>
        <w:t>The Nicor Gas Team</w:t>
      </w:r>
      <w:r w:rsidR="005409C1">
        <w:rPr>
          <w:rFonts w:ascii="Times New Roman" w:hAnsi="Times New Roman" w:cs="Times New Roman"/>
          <w:sz w:val="24"/>
          <w:szCs w:val="24"/>
        </w:rPr>
        <w:t xml:space="preserve">’s </w:t>
      </w:r>
      <w:r w:rsidRPr="00FA1E90">
        <w:rPr>
          <w:rFonts w:ascii="Times New Roman" w:hAnsi="Times New Roman" w:cs="Times New Roman"/>
          <w:sz w:val="24"/>
          <w:szCs w:val="24"/>
        </w:rPr>
        <w:t xml:space="preserve">modifications to the typical impact evaluation </w:t>
      </w:r>
      <w:r w:rsidR="003E3B48" w:rsidRPr="00FA1E90">
        <w:rPr>
          <w:rFonts w:ascii="Times New Roman" w:hAnsi="Times New Roman" w:cs="Times New Roman"/>
          <w:sz w:val="24"/>
          <w:szCs w:val="24"/>
        </w:rPr>
        <w:t>approach for custom programs were judged by all the involved parties to be</w:t>
      </w:r>
      <w:r w:rsidRPr="00FA1E90">
        <w:rPr>
          <w:rFonts w:ascii="Times New Roman" w:hAnsi="Times New Roman" w:cs="Times New Roman"/>
          <w:sz w:val="24"/>
          <w:szCs w:val="24"/>
        </w:rPr>
        <w:t xml:space="preserve"> very effective in </w:t>
      </w:r>
      <w:r w:rsidR="003E3B48" w:rsidRPr="00FA1E90">
        <w:rPr>
          <w:rFonts w:ascii="Times New Roman" w:hAnsi="Times New Roman" w:cs="Times New Roman"/>
          <w:sz w:val="24"/>
          <w:szCs w:val="24"/>
        </w:rPr>
        <w:t xml:space="preserve">improving the process for determining </w:t>
      </w:r>
      <w:r w:rsidRPr="00FA1E90">
        <w:rPr>
          <w:rFonts w:ascii="Times New Roman" w:hAnsi="Times New Roman" w:cs="Times New Roman"/>
          <w:sz w:val="24"/>
          <w:szCs w:val="24"/>
        </w:rPr>
        <w:t xml:space="preserve">the gross savings and net savings that would be attributed to the program. </w:t>
      </w:r>
      <w:r w:rsidR="001A067F">
        <w:rPr>
          <w:rFonts w:ascii="Times New Roman" w:hAnsi="Times New Roman" w:cs="Times New Roman"/>
          <w:sz w:val="24"/>
          <w:szCs w:val="24"/>
        </w:rPr>
        <w:t>Specifically, this process</w:t>
      </w:r>
      <w:r w:rsidR="003E3B48" w:rsidRPr="00FA1E90">
        <w:rPr>
          <w:rFonts w:ascii="Times New Roman" w:hAnsi="Times New Roman" w:cs="Times New Roman"/>
          <w:sz w:val="24"/>
          <w:szCs w:val="24"/>
        </w:rPr>
        <w:t xml:space="preserve"> resulted in</w:t>
      </w:r>
      <w:r w:rsidR="001A067F">
        <w:rPr>
          <w:rFonts w:ascii="Times New Roman" w:hAnsi="Times New Roman" w:cs="Times New Roman"/>
          <w:sz w:val="24"/>
          <w:szCs w:val="24"/>
        </w:rPr>
        <w:t xml:space="preserve"> </w:t>
      </w:r>
      <w:r w:rsidR="00CC2420">
        <w:rPr>
          <w:rFonts w:ascii="Times New Roman" w:hAnsi="Times New Roman" w:cs="Times New Roman"/>
          <w:sz w:val="24"/>
          <w:szCs w:val="24"/>
        </w:rPr>
        <w:t xml:space="preserve">nine </w:t>
      </w:r>
      <w:r w:rsidR="001A067F">
        <w:rPr>
          <w:rFonts w:ascii="Times New Roman" w:hAnsi="Times New Roman" w:cs="Times New Roman"/>
          <w:sz w:val="24"/>
          <w:szCs w:val="24"/>
        </w:rPr>
        <w:t>benefits</w:t>
      </w:r>
      <w:r w:rsidR="003E3B48" w:rsidRPr="00FA1E90">
        <w:rPr>
          <w:rFonts w:ascii="Times New Roman" w:hAnsi="Times New Roman" w:cs="Times New Roman"/>
          <w:sz w:val="24"/>
          <w:szCs w:val="24"/>
        </w:rPr>
        <w:t xml:space="preserve">: </w:t>
      </w:r>
    </w:p>
    <w:p w14:paraId="6DFD0284" w14:textId="67C0226E" w:rsidR="001A067F" w:rsidRDefault="00A3189C" w:rsidP="00A0280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003E3B48" w:rsidRPr="00FA1E90">
        <w:rPr>
          <w:rFonts w:ascii="Times New Roman" w:hAnsi="Times New Roman" w:cs="Times New Roman"/>
          <w:sz w:val="24"/>
          <w:szCs w:val="24"/>
        </w:rPr>
        <w:t xml:space="preserve"> higher program realization rate</w:t>
      </w:r>
      <w:r w:rsidR="00F438F0" w:rsidRPr="00FA1E90">
        <w:rPr>
          <w:rFonts w:ascii="Times New Roman" w:hAnsi="Times New Roman" w:cs="Times New Roman"/>
          <w:sz w:val="24"/>
          <w:szCs w:val="24"/>
        </w:rPr>
        <w:t>;</w:t>
      </w:r>
    </w:p>
    <w:p w14:paraId="1E567652" w14:textId="444EAE05" w:rsidR="00F438F0" w:rsidRPr="00FA1E90" w:rsidRDefault="00C71681" w:rsidP="00A0280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w:t>
      </w:r>
      <w:r w:rsidRPr="00FA1E90">
        <w:rPr>
          <w:rFonts w:ascii="Times New Roman" w:hAnsi="Times New Roman" w:cs="Times New Roman"/>
          <w:sz w:val="24"/>
          <w:szCs w:val="24"/>
        </w:rPr>
        <w:t xml:space="preserve">nhanced </w:t>
      </w:r>
      <w:r w:rsidR="001A067F">
        <w:rPr>
          <w:rFonts w:ascii="Times New Roman" w:hAnsi="Times New Roman" w:cs="Times New Roman"/>
          <w:sz w:val="24"/>
          <w:szCs w:val="24"/>
        </w:rPr>
        <w:t>ability to manage total project gross savings for PY2</w:t>
      </w:r>
      <w:r w:rsidR="0068116D">
        <w:rPr>
          <w:rFonts w:ascii="Times New Roman" w:hAnsi="Times New Roman" w:cs="Times New Roman"/>
          <w:sz w:val="24"/>
          <w:szCs w:val="24"/>
        </w:rPr>
        <w:t>;</w:t>
      </w:r>
      <w:r w:rsidR="003E3B48" w:rsidRPr="00FA1E90">
        <w:rPr>
          <w:rFonts w:ascii="Times New Roman" w:hAnsi="Times New Roman" w:cs="Times New Roman"/>
          <w:sz w:val="24"/>
          <w:szCs w:val="24"/>
        </w:rPr>
        <w:t xml:space="preserve"> </w:t>
      </w:r>
    </w:p>
    <w:p w14:paraId="7605DEB5" w14:textId="09A2F4C0" w:rsidR="00BD3683" w:rsidRDefault="00A3189C" w:rsidP="00A0280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w:t>
      </w:r>
      <w:r w:rsidR="003E3B48" w:rsidRPr="00FA1E90">
        <w:rPr>
          <w:rFonts w:ascii="Times New Roman" w:hAnsi="Times New Roman" w:cs="Times New Roman"/>
          <w:sz w:val="24"/>
          <w:szCs w:val="24"/>
        </w:rPr>
        <w:t>ore accurate</w:t>
      </w:r>
      <w:r w:rsidR="00F438F0" w:rsidRPr="00FA1E90">
        <w:rPr>
          <w:rFonts w:ascii="Times New Roman" w:hAnsi="Times New Roman" w:cs="Times New Roman"/>
          <w:sz w:val="24"/>
          <w:szCs w:val="24"/>
        </w:rPr>
        <w:t xml:space="preserve"> and timely</w:t>
      </w:r>
      <w:r w:rsidR="003E3B48" w:rsidRPr="00FA1E90">
        <w:rPr>
          <w:rFonts w:ascii="Times New Roman" w:hAnsi="Times New Roman" w:cs="Times New Roman"/>
          <w:sz w:val="24"/>
          <w:szCs w:val="24"/>
        </w:rPr>
        <w:t xml:space="preserve"> NTGR research results;</w:t>
      </w:r>
    </w:p>
    <w:p w14:paraId="5A3DCB6D" w14:textId="0DE6F817" w:rsidR="00F438F0" w:rsidRPr="00BD3683" w:rsidRDefault="00A3189C" w:rsidP="00A0280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w:t>
      </w:r>
      <w:r w:rsidR="00BD3683" w:rsidRPr="00FA1E90">
        <w:rPr>
          <w:rFonts w:ascii="Times New Roman" w:hAnsi="Times New Roman" w:cs="Times New Roman"/>
          <w:sz w:val="24"/>
          <w:szCs w:val="24"/>
        </w:rPr>
        <w:t xml:space="preserve">mproved utility satisfaction with the evaluation process; </w:t>
      </w:r>
      <w:r w:rsidR="003E3B48" w:rsidRPr="00BD3683">
        <w:rPr>
          <w:rFonts w:ascii="Times New Roman" w:hAnsi="Times New Roman" w:cs="Times New Roman"/>
          <w:sz w:val="24"/>
          <w:szCs w:val="24"/>
        </w:rPr>
        <w:t xml:space="preserve"> </w:t>
      </w:r>
    </w:p>
    <w:p w14:paraId="0FB1F03D" w14:textId="7D3FFAC1" w:rsidR="00B52083" w:rsidRDefault="003E197D" w:rsidP="00A0280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Better</w:t>
      </w:r>
      <w:r w:rsidRPr="00FA1E90">
        <w:rPr>
          <w:rFonts w:ascii="Times New Roman" w:hAnsi="Times New Roman" w:cs="Times New Roman"/>
          <w:sz w:val="24"/>
          <w:szCs w:val="24"/>
        </w:rPr>
        <w:t xml:space="preserve"> </w:t>
      </w:r>
      <w:r w:rsidR="00B52083" w:rsidRPr="00FA1E90">
        <w:rPr>
          <w:rFonts w:ascii="Times New Roman" w:hAnsi="Times New Roman" w:cs="Times New Roman"/>
          <w:sz w:val="24"/>
          <w:szCs w:val="24"/>
        </w:rPr>
        <w:t>communications between the evaluator and the implementation contractor;</w:t>
      </w:r>
    </w:p>
    <w:p w14:paraId="385A0D42" w14:textId="1A83AB70" w:rsidR="00CC2420" w:rsidRPr="00FA1E90" w:rsidRDefault="00C71681" w:rsidP="001A067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Refined </w:t>
      </w:r>
      <w:r w:rsidR="00CC2420">
        <w:rPr>
          <w:rFonts w:ascii="Times New Roman" w:hAnsi="Times New Roman" w:cs="Times New Roman"/>
          <w:sz w:val="24"/>
          <w:szCs w:val="24"/>
        </w:rPr>
        <w:t>technical documentation and clearer documentation requirements</w:t>
      </w:r>
    </w:p>
    <w:p w14:paraId="71BB602F" w14:textId="607D1A63" w:rsidR="00F438F0" w:rsidRPr="00FA1E90" w:rsidRDefault="00BE3003" w:rsidP="00A0280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w:t>
      </w:r>
      <w:r w:rsidR="003E3B48" w:rsidRPr="00FA1E90">
        <w:rPr>
          <w:rFonts w:ascii="Times New Roman" w:hAnsi="Times New Roman" w:cs="Times New Roman"/>
          <w:sz w:val="24"/>
          <w:szCs w:val="24"/>
        </w:rPr>
        <w:t xml:space="preserve">imelier, higher quality program feedback; </w:t>
      </w:r>
    </w:p>
    <w:p w14:paraId="3C65E8A8" w14:textId="26483EC7" w:rsidR="00F438F0" w:rsidRPr="00FA1E90" w:rsidRDefault="00BE3003" w:rsidP="00A0280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w:t>
      </w:r>
      <w:r w:rsidR="003E3B48" w:rsidRPr="00FA1E90">
        <w:rPr>
          <w:rFonts w:ascii="Times New Roman" w:hAnsi="Times New Roman" w:cs="Times New Roman"/>
          <w:sz w:val="24"/>
          <w:szCs w:val="24"/>
        </w:rPr>
        <w:t>rogram design changes to bett</w:t>
      </w:r>
      <w:r w:rsidR="0068116D">
        <w:rPr>
          <w:rFonts w:ascii="Times New Roman" w:hAnsi="Times New Roman" w:cs="Times New Roman"/>
          <w:sz w:val="24"/>
          <w:szCs w:val="24"/>
        </w:rPr>
        <w:t>er align savings and incentives;</w:t>
      </w:r>
      <w:r w:rsidR="003E3B48" w:rsidRPr="00FA1E90">
        <w:rPr>
          <w:rFonts w:ascii="Times New Roman" w:hAnsi="Times New Roman" w:cs="Times New Roman"/>
          <w:sz w:val="24"/>
          <w:szCs w:val="24"/>
        </w:rPr>
        <w:t xml:space="preserve"> and </w:t>
      </w:r>
    </w:p>
    <w:p w14:paraId="2C9B38FE" w14:textId="0B0E2E90" w:rsidR="003E3B48" w:rsidRPr="00FA1E90" w:rsidRDefault="00BE3003" w:rsidP="00A0280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w:t>
      </w:r>
      <w:r w:rsidR="003E3B48" w:rsidRPr="00FA1E90">
        <w:rPr>
          <w:rFonts w:ascii="Times New Roman" w:hAnsi="Times New Roman" w:cs="Times New Roman"/>
          <w:sz w:val="24"/>
          <w:szCs w:val="24"/>
        </w:rPr>
        <w:t xml:space="preserve">ore effective use of evaluation resources.  </w:t>
      </w:r>
    </w:p>
    <w:p w14:paraId="59E63872" w14:textId="6F3D4B2A" w:rsidR="004A29CF" w:rsidRPr="00FA1E90" w:rsidRDefault="005F37BA" w:rsidP="005F37BA">
      <w:pPr>
        <w:ind w:firstLine="360"/>
        <w:rPr>
          <w:rFonts w:ascii="Times New Roman" w:hAnsi="Times New Roman" w:cs="Times New Roman"/>
          <w:sz w:val="24"/>
          <w:szCs w:val="24"/>
        </w:rPr>
      </w:pPr>
      <w:r>
        <w:rPr>
          <w:rFonts w:ascii="Times New Roman" w:hAnsi="Times New Roman" w:cs="Times New Roman"/>
          <w:sz w:val="24"/>
          <w:szCs w:val="24"/>
        </w:rPr>
        <w:t>T</w:t>
      </w:r>
      <w:r w:rsidR="004A29CF" w:rsidRPr="00FA1E90">
        <w:rPr>
          <w:rFonts w:ascii="Times New Roman" w:hAnsi="Times New Roman" w:cs="Times New Roman"/>
          <w:sz w:val="24"/>
          <w:szCs w:val="24"/>
        </w:rPr>
        <w:t>here are additional steps that can and are being taken</w:t>
      </w:r>
      <w:r>
        <w:rPr>
          <w:rFonts w:ascii="Times New Roman" w:hAnsi="Times New Roman" w:cs="Times New Roman"/>
          <w:sz w:val="24"/>
          <w:szCs w:val="24"/>
        </w:rPr>
        <w:t>, however,</w:t>
      </w:r>
      <w:r w:rsidR="004A29CF" w:rsidRPr="00FA1E90">
        <w:rPr>
          <w:rFonts w:ascii="Times New Roman" w:hAnsi="Times New Roman" w:cs="Times New Roman"/>
          <w:sz w:val="24"/>
          <w:szCs w:val="24"/>
        </w:rPr>
        <w:t xml:space="preserve"> to reduce that variability still further:</w:t>
      </w:r>
    </w:p>
    <w:p w14:paraId="701054E3" w14:textId="77777777" w:rsidR="004A29CF" w:rsidRPr="00FA1E90" w:rsidRDefault="004A29CF" w:rsidP="00A0280D">
      <w:pPr>
        <w:pStyle w:val="ListParagraph"/>
        <w:numPr>
          <w:ilvl w:val="0"/>
          <w:numId w:val="7"/>
        </w:numPr>
        <w:rPr>
          <w:rFonts w:ascii="Times New Roman" w:hAnsi="Times New Roman" w:cs="Times New Roman"/>
          <w:sz w:val="24"/>
          <w:szCs w:val="24"/>
        </w:rPr>
      </w:pPr>
      <w:r w:rsidRPr="00FA1E90">
        <w:rPr>
          <w:rFonts w:ascii="Times New Roman" w:hAnsi="Times New Roman" w:cs="Times New Roman"/>
          <w:sz w:val="24"/>
          <w:szCs w:val="24"/>
        </w:rPr>
        <w:t>The team will agree on the appropriate weather data in advance to eliminate that source of difference in savings estimates.</w:t>
      </w:r>
    </w:p>
    <w:p w14:paraId="3D9582C0" w14:textId="77777777" w:rsidR="004A29CF" w:rsidRPr="00FA1E90" w:rsidRDefault="004A29CF" w:rsidP="00A0280D">
      <w:pPr>
        <w:pStyle w:val="ListParagraph"/>
        <w:numPr>
          <w:ilvl w:val="0"/>
          <w:numId w:val="7"/>
        </w:numPr>
        <w:rPr>
          <w:rFonts w:ascii="Times New Roman" w:hAnsi="Times New Roman" w:cs="Times New Roman"/>
          <w:sz w:val="24"/>
          <w:szCs w:val="24"/>
        </w:rPr>
      </w:pPr>
      <w:r w:rsidRPr="00FA1E90">
        <w:rPr>
          <w:rFonts w:ascii="Times New Roman" w:hAnsi="Times New Roman" w:cs="Times New Roman"/>
          <w:sz w:val="24"/>
          <w:szCs w:val="24"/>
        </w:rPr>
        <w:t xml:space="preserve">Navigant will begin to verify the </w:t>
      </w:r>
      <w:r w:rsidR="002052B7">
        <w:rPr>
          <w:rFonts w:ascii="Times New Roman" w:hAnsi="Times New Roman" w:cs="Times New Roman"/>
          <w:sz w:val="24"/>
          <w:szCs w:val="24"/>
        </w:rPr>
        <w:t xml:space="preserve">net </w:t>
      </w:r>
      <w:r w:rsidRPr="00FA1E90">
        <w:rPr>
          <w:rFonts w:ascii="Times New Roman" w:hAnsi="Times New Roman" w:cs="Times New Roman"/>
          <w:sz w:val="24"/>
          <w:szCs w:val="24"/>
        </w:rPr>
        <w:t>program impacts on a more real-time basis, that is, begin the impact evaluations earlier in the program year so the verified values – both gross and net – are at least known in part before the end of the program year.</w:t>
      </w:r>
    </w:p>
    <w:p w14:paraId="2BC5C403" w14:textId="405FEA33" w:rsidR="00B52083" w:rsidRDefault="00B52083" w:rsidP="00A0280D">
      <w:pPr>
        <w:rPr>
          <w:rFonts w:ascii="Times New Roman" w:hAnsi="Times New Roman" w:cs="Times New Roman"/>
          <w:sz w:val="24"/>
          <w:szCs w:val="24"/>
        </w:rPr>
      </w:pPr>
      <w:r w:rsidRPr="00FA1E90">
        <w:rPr>
          <w:rFonts w:ascii="Times New Roman" w:hAnsi="Times New Roman" w:cs="Times New Roman"/>
          <w:sz w:val="24"/>
          <w:szCs w:val="24"/>
        </w:rPr>
        <w:t>The team</w:t>
      </w:r>
      <w:r w:rsidR="00F622A5">
        <w:rPr>
          <w:rFonts w:ascii="Times New Roman" w:hAnsi="Times New Roman" w:cs="Times New Roman"/>
          <w:sz w:val="24"/>
          <w:szCs w:val="24"/>
        </w:rPr>
        <w:t xml:space="preserve"> is already</w:t>
      </w:r>
      <w:r w:rsidR="00F160A8">
        <w:rPr>
          <w:rFonts w:ascii="Times New Roman" w:hAnsi="Times New Roman" w:cs="Times New Roman"/>
          <w:sz w:val="24"/>
          <w:szCs w:val="24"/>
        </w:rPr>
        <w:t xml:space="preserve"> </w:t>
      </w:r>
      <w:r w:rsidRPr="00FA1E90">
        <w:rPr>
          <w:rFonts w:ascii="Times New Roman" w:hAnsi="Times New Roman" w:cs="Times New Roman"/>
          <w:sz w:val="24"/>
          <w:szCs w:val="24"/>
        </w:rPr>
        <w:t xml:space="preserve">implementing both additional </w:t>
      </w:r>
      <w:r w:rsidR="002052B7">
        <w:rPr>
          <w:rFonts w:ascii="Times New Roman" w:hAnsi="Times New Roman" w:cs="Times New Roman"/>
          <w:sz w:val="24"/>
          <w:szCs w:val="24"/>
        </w:rPr>
        <w:t>steps</w:t>
      </w:r>
      <w:r w:rsidR="002052B7" w:rsidRPr="00FA1E90">
        <w:rPr>
          <w:rFonts w:ascii="Times New Roman" w:hAnsi="Times New Roman" w:cs="Times New Roman"/>
          <w:sz w:val="24"/>
          <w:szCs w:val="24"/>
        </w:rPr>
        <w:t xml:space="preserve"> </w:t>
      </w:r>
      <w:r w:rsidRPr="00FA1E90">
        <w:rPr>
          <w:rFonts w:ascii="Times New Roman" w:hAnsi="Times New Roman" w:cs="Times New Roman"/>
          <w:sz w:val="24"/>
          <w:szCs w:val="24"/>
        </w:rPr>
        <w:t xml:space="preserve">for </w:t>
      </w:r>
      <w:r w:rsidR="002052B7">
        <w:rPr>
          <w:rFonts w:ascii="Times New Roman" w:hAnsi="Times New Roman" w:cs="Times New Roman"/>
          <w:sz w:val="24"/>
          <w:szCs w:val="24"/>
        </w:rPr>
        <w:t xml:space="preserve">PY3 and </w:t>
      </w:r>
      <w:r w:rsidRPr="00FA1E90">
        <w:rPr>
          <w:rFonts w:ascii="Times New Roman" w:hAnsi="Times New Roman" w:cs="Times New Roman"/>
          <w:sz w:val="24"/>
          <w:szCs w:val="24"/>
        </w:rPr>
        <w:t>PY4 projects and expects to continue to refine the new</w:t>
      </w:r>
      <w:r w:rsidR="00F160A8">
        <w:rPr>
          <w:rFonts w:ascii="Times New Roman" w:hAnsi="Times New Roman" w:cs="Times New Roman"/>
          <w:sz w:val="24"/>
          <w:szCs w:val="24"/>
        </w:rPr>
        <w:t xml:space="preserve"> approaches throughout the year.</w:t>
      </w:r>
    </w:p>
    <w:p w14:paraId="234F458C" w14:textId="77777777" w:rsidR="009938B5" w:rsidRDefault="009938B5" w:rsidP="00A0280D">
      <w:pPr>
        <w:rPr>
          <w:rFonts w:ascii="Times New Roman" w:hAnsi="Times New Roman" w:cs="Times New Roman"/>
          <w:sz w:val="24"/>
          <w:szCs w:val="24"/>
        </w:rPr>
      </w:pPr>
    </w:p>
    <w:p w14:paraId="35B05A5B" w14:textId="79D7918C" w:rsidR="009938B5" w:rsidRPr="00577DAA" w:rsidRDefault="009938B5" w:rsidP="009938B5">
      <w:pPr>
        <w:rPr>
          <w:rFonts w:ascii="Times New Roman" w:hAnsi="Times New Roman" w:cs="Times New Roman"/>
          <w:b/>
          <w:sz w:val="28"/>
          <w:szCs w:val="28"/>
        </w:rPr>
      </w:pPr>
      <w:r>
        <w:rPr>
          <w:rFonts w:ascii="Times New Roman" w:hAnsi="Times New Roman" w:cs="Times New Roman"/>
          <w:b/>
          <w:sz w:val="28"/>
          <w:szCs w:val="28"/>
        </w:rPr>
        <w:t>References</w:t>
      </w:r>
    </w:p>
    <w:p w14:paraId="332BE301" w14:textId="77777777" w:rsidR="009938B5" w:rsidRDefault="009938B5" w:rsidP="00A0280D">
      <w:pPr>
        <w:rPr>
          <w:rFonts w:ascii="Times New Roman" w:hAnsi="Times New Roman" w:cs="Times New Roman"/>
          <w:sz w:val="24"/>
          <w:szCs w:val="24"/>
        </w:rPr>
      </w:pPr>
    </w:p>
    <w:p w14:paraId="41D825FE" w14:textId="3E594466" w:rsidR="0065127F" w:rsidRDefault="0065127F" w:rsidP="00A863CA">
      <w:pPr>
        <w:ind w:left="720" w:hanging="720"/>
        <w:rPr>
          <w:rFonts w:ascii="Times New Roman" w:hAnsi="Times New Roman" w:cs="Times New Roman"/>
          <w:sz w:val="24"/>
          <w:szCs w:val="24"/>
        </w:rPr>
      </w:pPr>
      <w:r>
        <w:rPr>
          <w:rFonts w:ascii="Times New Roman" w:hAnsi="Times New Roman" w:cs="Times New Roman"/>
          <w:sz w:val="24"/>
          <w:szCs w:val="24"/>
        </w:rPr>
        <w:t>Efficiency Valuation Organization (EVO), International Performance Measurement &amp; Verification Protocol: Concepts and Options for Determining Energy and Water Savings</w:t>
      </w:r>
    </w:p>
    <w:p w14:paraId="1C366B26" w14:textId="47B7745B" w:rsidR="0065127F" w:rsidRDefault="0065127F" w:rsidP="00A863CA">
      <w:pPr>
        <w:ind w:left="720"/>
        <w:rPr>
          <w:rFonts w:ascii="Times New Roman" w:hAnsi="Times New Roman" w:cs="Times New Roman"/>
          <w:sz w:val="24"/>
          <w:szCs w:val="24"/>
        </w:rPr>
      </w:pPr>
      <w:r>
        <w:rPr>
          <w:rFonts w:ascii="Times New Roman" w:hAnsi="Times New Roman" w:cs="Times New Roman"/>
          <w:sz w:val="24"/>
          <w:szCs w:val="24"/>
        </w:rPr>
        <w:t xml:space="preserve">Volume I, January 2012, </w:t>
      </w:r>
      <w:hyperlink r:id="rId21" w:history="1">
        <w:r w:rsidRPr="00BE5F3D">
          <w:rPr>
            <w:rStyle w:val="Hyperlink"/>
            <w:rFonts w:ascii="Times New Roman" w:hAnsi="Times New Roman" w:cs="Times New Roman"/>
            <w:sz w:val="24"/>
            <w:szCs w:val="24"/>
          </w:rPr>
          <w:t>http://www.evo-world.org/index.php?option=com_content&amp;view=article&amp;id=272&amp;Itemid=379&amp;lang=en</w:t>
        </w:r>
      </w:hyperlink>
    </w:p>
    <w:p w14:paraId="6FDF6F55" w14:textId="77777777" w:rsidR="0065127F" w:rsidRDefault="0065127F" w:rsidP="00A0280D">
      <w:pPr>
        <w:rPr>
          <w:rFonts w:ascii="Times New Roman" w:hAnsi="Times New Roman" w:cs="Times New Roman"/>
          <w:sz w:val="24"/>
          <w:szCs w:val="24"/>
        </w:rPr>
      </w:pPr>
    </w:p>
    <w:p w14:paraId="5DF7A716" w14:textId="0E56C8B5" w:rsidR="009938B5" w:rsidRPr="00FA1E90" w:rsidRDefault="009938B5" w:rsidP="00A863CA">
      <w:pPr>
        <w:keepLines/>
        <w:ind w:firstLine="720"/>
        <w:rPr>
          <w:rFonts w:ascii="Times New Roman" w:hAnsi="Times New Roman" w:cs="Times New Roman"/>
          <w:sz w:val="24"/>
          <w:szCs w:val="24"/>
        </w:rPr>
      </w:pPr>
    </w:p>
    <w:sectPr w:rsidR="009938B5" w:rsidRPr="00FA1E90" w:rsidSect="00A0280D">
      <w:headerReference w:type="default" r:id="rId22"/>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5CF54" w14:textId="77777777" w:rsidR="00263375" w:rsidRDefault="00263375" w:rsidP="00390F92">
      <w:r>
        <w:separator/>
      </w:r>
    </w:p>
  </w:endnote>
  <w:endnote w:type="continuationSeparator" w:id="0">
    <w:p w14:paraId="6E716A61" w14:textId="77777777" w:rsidR="00263375" w:rsidRDefault="00263375" w:rsidP="00390F92">
      <w:r>
        <w:continuationSeparator/>
      </w:r>
    </w:p>
  </w:endnote>
  <w:endnote w:type="continuationNotice" w:id="1">
    <w:p w14:paraId="0F954453" w14:textId="77777777" w:rsidR="00263375" w:rsidRDefault="00263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7C4EB" w14:textId="77777777" w:rsidR="00263375" w:rsidRDefault="00263375" w:rsidP="00390F92">
      <w:r>
        <w:separator/>
      </w:r>
    </w:p>
  </w:footnote>
  <w:footnote w:type="continuationSeparator" w:id="0">
    <w:p w14:paraId="41353992" w14:textId="77777777" w:rsidR="00263375" w:rsidRDefault="00263375" w:rsidP="00390F92">
      <w:r>
        <w:continuationSeparator/>
      </w:r>
    </w:p>
  </w:footnote>
  <w:footnote w:type="continuationNotice" w:id="1">
    <w:p w14:paraId="223008F5" w14:textId="77777777" w:rsidR="00263375" w:rsidRDefault="00263375"/>
  </w:footnote>
  <w:footnote w:id="2">
    <w:p w14:paraId="7CC49638" w14:textId="64B67B0B" w:rsidR="005409C1" w:rsidRPr="00F21471" w:rsidRDefault="005409C1" w:rsidP="00A44B75">
      <w:pPr>
        <w:pStyle w:val="FootnoteText"/>
        <w:rPr>
          <w:rFonts w:ascii="Times New Roman" w:hAnsi="Times New Roman" w:cs="Times New Roman"/>
        </w:rPr>
      </w:pPr>
      <w:r w:rsidRPr="00A0280D">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hd w:val="clear" w:color="auto" w:fill="FFFFFF"/>
        </w:rPr>
        <w:t>220 ILCS 5/8-104, Sec. 8-104:</w:t>
      </w:r>
      <w:r w:rsidRPr="00F21471">
        <w:rPr>
          <w:rFonts w:ascii="Times New Roman" w:hAnsi="Times New Roman" w:cs="Times New Roman"/>
        </w:rPr>
        <w:t xml:space="preserve">  (1) 0.2% by May 31, 2012; (2) an additional 0.4% by May 31, 2013, increasing total savings to .6%; (3) an additional 0.6% by May 31, 2014, increasing total savings to 1.2%. </w:t>
      </w:r>
      <w:r>
        <w:rPr>
          <w:rFonts w:ascii="Times New Roman" w:hAnsi="Times New Roman" w:cs="Times New Roman"/>
        </w:rPr>
        <w:t xml:space="preserve"> The goals continue through 2015-2017. </w:t>
      </w:r>
      <w:r w:rsidRPr="00F21471">
        <w:rPr>
          <w:rFonts w:ascii="Times New Roman" w:hAnsi="Times New Roman" w:cs="Times New Roman"/>
        </w:rPr>
        <w:t>http://www.ilga.gov/legislation/ilcs/fulltext.asp?DocName=022000050K8-104</w:t>
      </w:r>
    </w:p>
  </w:footnote>
  <w:footnote w:id="3">
    <w:p w14:paraId="4E098317" w14:textId="77777777" w:rsidR="005409C1" w:rsidRPr="00467231" w:rsidRDefault="005409C1">
      <w:pPr>
        <w:pStyle w:val="FootnoteText"/>
        <w:rPr>
          <w:rFonts w:ascii="Times New Roman" w:hAnsi="Times New Roman" w:cs="Times New Roman"/>
        </w:rPr>
      </w:pPr>
      <w:r w:rsidRPr="00467231">
        <w:rPr>
          <w:rStyle w:val="FootnoteReference"/>
          <w:rFonts w:ascii="Times New Roman" w:hAnsi="Times New Roman" w:cs="Times New Roman"/>
        </w:rPr>
        <w:footnoteRef/>
      </w:r>
      <w:r w:rsidRPr="00467231">
        <w:rPr>
          <w:rFonts w:ascii="Times New Roman" w:hAnsi="Times New Roman" w:cs="Times New Roman"/>
        </w:rPr>
        <w:t xml:space="preserve"> RSG has since been acquired by CLEAResult.</w:t>
      </w:r>
    </w:p>
  </w:footnote>
  <w:footnote w:id="4">
    <w:p w14:paraId="6E425D6C" w14:textId="4513D54E" w:rsidR="00CB1473" w:rsidRDefault="00CB1473">
      <w:pPr>
        <w:pStyle w:val="FootnoteText"/>
      </w:pPr>
      <w:r>
        <w:rPr>
          <w:rStyle w:val="FootnoteReference"/>
        </w:rPr>
        <w:footnoteRef/>
      </w:r>
      <w:r>
        <w:t xml:space="preserve"> Salesforce is a customer relationship management tool (CRM) utilized by the 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15F56" w14:textId="38F86723" w:rsidR="005400BC" w:rsidRDefault="005400BC" w:rsidP="005400BC">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F5D"/>
    <w:multiLevelType w:val="hybridMultilevel"/>
    <w:tmpl w:val="AFA26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3A795E"/>
    <w:multiLevelType w:val="hybridMultilevel"/>
    <w:tmpl w:val="E182D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646FC8"/>
    <w:multiLevelType w:val="hybridMultilevel"/>
    <w:tmpl w:val="3474A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72549"/>
    <w:multiLevelType w:val="hybridMultilevel"/>
    <w:tmpl w:val="1B98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83B01"/>
    <w:multiLevelType w:val="hybridMultilevel"/>
    <w:tmpl w:val="805E2DCA"/>
    <w:lvl w:ilvl="0" w:tplc="60F2BE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6D7490A"/>
    <w:multiLevelType w:val="hybridMultilevel"/>
    <w:tmpl w:val="2646A7C6"/>
    <w:lvl w:ilvl="0" w:tplc="D8B2A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16FFE"/>
    <w:multiLevelType w:val="hybridMultilevel"/>
    <w:tmpl w:val="40148F44"/>
    <w:lvl w:ilvl="0" w:tplc="A6B85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40C76"/>
    <w:multiLevelType w:val="hybridMultilevel"/>
    <w:tmpl w:val="DE7CB902"/>
    <w:lvl w:ilvl="0" w:tplc="A6B851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CE5042"/>
    <w:multiLevelType w:val="hybridMultilevel"/>
    <w:tmpl w:val="26280ED6"/>
    <w:lvl w:ilvl="0" w:tplc="F6B41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EA19E8"/>
    <w:multiLevelType w:val="hybridMultilevel"/>
    <w:tmpl w:val="1368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3050C"/>
    <w:multiLevelType w:val="hybridMultilevel"/>
    <w:tmpl w:val="2070DD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3"/>
  </w:num>
  <w:num w:numId="7">
    <w:abstractNumId w:val="6"/>
  </w:num>
  <w:num w:numId="8">
    <w:abstractNumId w:val="2"/>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B7"/>
    <w:rsid w:val="00030479"/>
    <w:rsid w:val="00035B19"/>
    <w:rsid w:val="0005035C"/>
    <w:rsid w:val="000668B3"/>
    <w:rsid w:val="000848ED"/>
    <w:rsid w:val="000906D6"/>
    <w:rsid w:val="000A29AD"/>
    <w:rsid w:val="000C1687"/>
    <w:rsid w:val="000C4CB9"/>
    <w:rsid w:val="000D08E4"/>
    <w:rsid w:val="000E6580"/>
    <w:rsid w:val="001134B3"/>
    <w:rsid w:val="00141E6A"/>
    <w:rsid w:val="00153064"/>
    <w:rsid w:val="00181183"/>
    <w:rsid w:val="00184121"/>
    <w:rsid w:val="00187C4D"/>
    <w:rsid w:val="00193D46"/>
    <w:rsid w:val="0019662E"/>
    <w:rsid w:val="001A067F"/>
    <w:rsid w:val="001C0341"/>
    <w:rsid w:val="001C30A2"/>
    <w:rsid w:val="001E0ABE"/>
    <w:rsid w:val="001E0D16"/>
    <w:rsid w:val="001E1898"/>
    <w:rsid w:val="001E4842"/>
    <w:rsid w:val="001F14DA"/>
    <w:rsid w:val="001F1D1A"/>
    <w:rsid w:val="001F6D40"/>
    <w:rsid w:val="002028E7"/>
    <w:rsid w:val="002052B7"/>
    <w:rsid w:val="00235925"/>
    <w:rsid w:val="00247FDB"/>
    <w:rsid w:val="002513A1"/>
    <w:rsid w:val="00257DAC"/>
    <w:rsid w:val="00263375"/>
    <w:rsid w:val="00265317"/>
    <w:rsid w:val="00274F05"/>
    <w:rsid w:val="00277288"/>
    <w:rsid w:val="00285B98"/>
    <w:rsid w:val="0028626A"/>
    <w:rsid w:val="0029217B"/>
    <w:rsid w:val="0029614B"/>
    <w:rsid w:val="002A461E"/>
    <w:rsid w:val="002B2902"/>
    <w:rsid w:val="002B4E90"/>
    <w:rsid w:val="002E7408"/>
    <w:rsid w:val="002E7509"/>
    <w:rsid w:val="00305624"/>
    <w:rsid w:val="00326917"/>
    <w:rsid w:val="003342A5"/>
    <w:rsid w:val="00334526"/>
    <w:rsid w:val="0034333E"/>
    <w:rsid w:val="0035103D"/>
    <w:rsid w:val="00353B58"/>
    <w:rsid w:val="00355593"/>
    <w:rsid w:val="00370247"/>
    <w:rsid w:val="00370BF9"/>
    <w:rsid w:val="00372688"/>
    <w:rsid w:val="003748D2"/>
    <w:rsid w:val="00375D6F"/>
    <w:rsid w:val="00380224"/>
    <w:rsid w:val="00390474"/>
    <w:rsid w:val="00390F92"/>
    <w:rsid w:val="00391041"/>
    <w:rsid w:val="003924A6"/>
    <w:rsid w:val="003C05D6"/>
    <w:rsid w:val="003C7B1E"/>
    <w:rsid w:val="003D4054"/>
    <w:rsid w:val="003D778E"/>
    <w:rsid w:val="003E197D"/>
    <w:rsid w:val="003E3B48"/>
    <w:rsid w:val="003F59CA"/>
    <w:rsid w:val="003F5A37"/>
    <w:rsid w:val="004065AC"/>
    <w:rsid w:val="004243CE"/>
    <w:rsid w:val="00453205"/>
    <w:rsid w:val="00454489"/>
    <w:rsid w:val="004660CD"/>
    <w:rsid w:val="00467231"/>
    <w:rsid w:val="0046774A"/>
    <w:rsid w:val="004703EB"/>
    <w:rsid w:val="004812EA"/>
    <w:rsid w:val="004A29CF"/>
    <w:rsid w:val="004E183E"/>
    <w:rsid w:val="004F2606"/>
    <w:rsid w:val="004F5652"/>
    <w:rsid w:val="004F6324"/>
    <w:rsid w:val="00500FDA"/>
    <w:rsid w:val="00502B89"/>
    <w:rsid w:val="005104B3"/>
    <w:rsid w:val="005146AC"/>
    <w:rsid w:val="005173AB"/>
    <w:rsid w:val="00524E84"/>
    <w:rsid w:val="005400BC"/>
    <w:rsid w:val="005409C1"/>
    <w:rsid w:val="00540F5D"/>
    <w:rsid w:val="0055155D"/>
    <w:rsid w:val="0055243A"/>
    <w:rsid w:val="00555092"/>
    <w:rsid w:val="0057391C"/>
    <w:rsid w:val="00574425"/>
    <w:rsid w:val="00577DAA"/>
    <w:rsid w:val="00584A14"/>
    <w:rsid w:val="005868BB"/>
    <w:rsid w:val="00592AC6"/>
    <w:rsid w:val="00596720"/>
    <w:rsid w:val="005A157D"/>
    <w:rsid w:val="005B5963"/>
    <w:rsid w:val="005B7A6D"/>
    <w:rsid w:val="005D4A6E"/>
    <w:rsid w:val="005F37BA"/>
    <w:rsid w:val="006064B5"/>
    <w:rsid w:val="00622FBC"/>
    <w:rsid w:val="00625048"/>
    <w:rsid w:val="00642E75"/>
    <w:rsid w:val="0065127F"/>
    <w:rsid w:val="00652F3C"/>
    <w:rsid w:val="00655F47"/>
    <w:rsid w:val="00676C73"/>
    <w:rsid w:val="0068116D"/>
    <w:rsid w:val="00685942"/>
    <w:rsid w:val="0068688C"/>
    <w:rsid w:val="00687540"/>
    <w:rsid w:val="00697896"/>
    <w:rsid w:val="006A10E8"/>
    <w:rsid w:val="006A25C4"/>
    <w:rsid w:val="006A6E8F"/>
    <w:rsid w:val="006B105A"/>
    <w:rsid w:val="006B66D1"/>
    <w:rsid w:val="006C0FAE"/>
    <w:rsid w:val="006C174D"/>
    <w:rsid w:val="006C3A68"/>
    <w:rsid w:val="006D310E"/>
    <w:rsid w:val="006D682C"/>
    <w:rsid w:val="006D6CF6"/>
    <w:rsid w:val="006E59EF"/>
    <w:rsid w:val="006F2AFF"/>
    <w:rsid w:val="006F6E89"/>
    <w:rsid w:val="007017F9"/>
    <w:rsid w:val="00707A5E"/>
    <w:rsid w:val="00746D0F"/>
    <w:rsid w:val="0075002E"/>
    <w:rsid w:val="00762EB9"/>
    <w:rsid w:val="00764902"/>
    <w:rsid w:val="007808BA"/>
    <w:rsid w:val="007825CB"/>
    <w:rsid w:val="007931CC"/>
    <w:rsid w:val="00797EB5"/>
    <w:rsid w:val="007A171D"/>
    <w:rsid w:val="007B5720"/>
    <w:rsid w:val="007C3C34"/>
    <w:rsid w:val="007D2DB3"/>
    <w:rsid w:val="007E622D"/>
    <w:rsid w:val="007F531A"/>
    <w:rsid w:val="008068BD"/>
    <w:rsid w:val="00807296"/>
    <w:rsid w:val="00810508"/>
    <w:rsid w:val="00822182"/>
    <w:rsid w:val="0082406E"/>
    <w:rsid w:val="0082547A"/>
    <w:rsid w:val="00830B02"/>
    <w:rsid w:val="008337D9"/>
    <w:rsid w:val="0083462B"/>
    <w:rsid w:val="008434A2"/>
    <w:rsid w:val="00844B60"/>
    <w:rsid w:val="00852615"/>
    <w:rsid w:val="00860BFF"/>
    <w:rsid w:val="0086673B"/>
    <w:rsid w:val="00886443"/>
    <w:rsid w:val="00891F16"/>
    <w:rsid w:val="008A140F"/>
    <w:rsid w:val="008A14E2"/>
    <w:rsid w:val="008A24E8"/>
    <w:rsid w:val="008A4623"/>
    <w:rsid w:val="008B1AE0"/>
    <w:rsid w:val="008B3BC2"/>
    <w:rsid w:val="008D6FFD"/>
    <w:rsid w:val="008E4B54"/>
    <w:rsid w:val="008F627F"/>
    <w:rsid w:val="00902BDF"/>
    <w:rsid w:val="00902BEF"/>
    <w:rsid w:val="009215DD"/>
    <w:rsid w:val="00927221"/>
    <w:rsid w:val="009321CC"/>
    <w:rsid w:val="009376A4"/>
    <w:rsid w:val="00942CF4"/>
    <w:rsid w:val="00943340"/>
    <w:rsid w:val="00945415"/>
    <w:rsid w:val="00953ACF"/>
    <w:rsid w:val="009568B3"/>
    <w:rsid w:val="00962FE4"/>
    <w:rsid w:val="0097272F"/>
    <w:rsid w:val="00990745"/>
    <w:rsid w:val="009938B5"/>
    <w:rsid w:val="009962BA"/>
    <w:rsid w:val="0099722C"/>
    <w:rsid w:val="00997311"/>
    <w:rsid w:val="00997ECA"/>
    <w:rsid w:val="009A1010"/>
    <w:rsid w:val="009A1683"/>
    <w:rsid w:val="009A3C7F"/>
    <w:rsid w:val="009A7341"/>
    <w:rsid w:val="009D1630"/>
    <w:rsid w:val="009E58F9"/>
    <w:rsid w:val="00A0280D"/>
    <w:rsid w:val="00A15BD9"/>
    <w:rsid w:val="00A16768"/>
    <w:rsid w:val="00A23C4A"/>
    <w:rsid w:val="00A3189C"/>
    <w:rsid w:val="00A36092"/>
    <w:rsid w:val="00A368DD"/>
    <w:rsid w:val="00A3789C"/>
    <w:rsid w:val="00A40B60"/>
    <w:rsid w:val="00A44B75"/>
    <w:rsid w:val="00A53B45"/>
    <w:rsid w:val="00A758C1"/>
    <w:rsid w:val="00A7692D"/>
    <w:rsid w:val="00A82DC3"/>
    <w:rsid w:val="00A863CA"/>
    <w:rsid w:val="00A86BDB"/>
    <w:rsid w:val="00AA3A54"/>
    <w:rsid w:val="00AB4CDC"/>
    <w:rsid w:val="00AC05F2"/>
    <w:rsid w:val="00AC636F"/>
    <w:rsid w:val="00AE7344"/>
    <w:rsid w:val="00AF1C32"/>
    <w:rsid w:val="00B02E43"/>
    <w:rsid w:val="00B0355A"/>
    <w:rsid w:val="00B0493A"/>
    <w:rsid w:val="00B13085"/>
    <w:rsid w:val="00B14573"/>
    <w:rsid w:val="00B23A28"/>
    <w:rsid w:val="00B26C83"/>
    <w:rsid w:val="00B4204C"/>
    <w:rsid w:val="00B439C2"/>
    <w:rsid w:val="00B4468E"/>
    <w:rsid w:val="00B52083"/>
    <w:rsid w:val="00B55656"/>
    <w:rsid w:val="00BA14B6"/>
    <w:rsid w:val="00BA3C80"/>
    <w:rsid w:val="00BB3167"/>
    <w:rsid w:val="00BD3683"/>
    <w:rsid w:val="00BE3003"/>
    <w:rsid w:val="00BF0791"/>
    <w:rsid w:val="00BF44D3"/>
    <w:rsid w:val="00C11E5E"/>
    <w:rsid w:val="00C221C0"/>
    <w:rsid w:val="00C26555"/>
    <w:rsid w:val="00C44BD8"/>
    <w:rsid w:val="00C464F7"/>
    <w:rsid w:val="00C5162C"/>
    <w:rsid w:val="00C52BE7"/>
    <w:rsid w:val="00C616AD"/>
    <w:rsid w:val="00C71681"/>
    <w:rsid w:val="00C7230A"/>
    <w:rsid w:val="00C730F2"/>
    <w:rsid w:val="00C93EB7"/>
    <w:rsid w:val="00CA1288"/>
    <w:rsid w:val="00CA3083"/>
    <w:rsid w:val="00CB1047"/>
    <w:rsid w:val="00CB1473"/>
    <w:rsid w:val="00CB44EC"/>
    <w:rsid w:val="00CB5408"/>
    <w:rsid w:val="00CB6CE6"/>
    <w:rsid w:val="00CC2420"/>
    <w:rsid w:val="00CD19BB"/>
    <w:rsid w:val="00CE0964"/>
    <w:rsid w:val="00CE262E"/>
    <w:rsid w:val="00D31D94"/>
    <w:rsid w:val="00D432EF"/>
    <w:rsid w:val="00D44391"/>
    <w:rsid w:val="00D50284"/>
    <w:rsid w:val="00D516B1"/>
    <w:rsid w:val="00D670F9"/>
    <w:rsid w:val="00D67ABE"/>
    <w:rsid w:val="00D74A5A"/>
    <w:rsid w:val="00D74C8E"/>
    <w:rsid w:val="00D83370"/>
    <w:rsid w:val="00D93B76"/>
    <w:rsid w:val="00D94B23"/>
    <w:rsid w:val="00DA2C52"/>
    <w:rsid w:val="00DB1F17"/>
    <w:rsid w:val="00DC436C"/>
    <w:rsid w:val="00DD104E"/>
    <w:rsid w:val="00DD64A0"/>
    <w:rsid w:val="00DD6DA0"/>
    <w:rsid w:val="00DE4EC2"/>
    <w:rsid w:val="00DF0C7A"/>
    <w:rsid w:val="00E10110"/>
    <w:rsid w:val="00E1087F"/>
    <w:rsid w:val="00E239FA"/>
    <w:rsid w:val="00E327DB"/>
    <w:rsid w:val="00E56D6E"/>
    <w:rsid w:val="00E632CE"/>
    <w:rsid w:val="00E65CE2"/>
    <w:rsid w:val="00E67600"/>
    <w:rsid w:val="00E70933"/>
    <w:rsid w:val="00E84379"/>
    <w:rsid w:val="00E901DE"/>
    <w:rsid w:val="00EA36F6"/>
    <w:rsid w:val="00ED5FC3"/>
    <w:rsid w:val="00EE2C3E"/>
    <w:rsid w:val="00F003A8"/>
    <w:rsid w:val="00F02003"/>
    <w:rsid w:val="00F04400"/>
    <w:rsid w:val="00F045AD"/>
    <w:rsid w:val="00F160A8"/>
    <w:rsid w:val="00F170CF"/>
    <w:rsid w:val="00F21471"/>
    <w:rsid w:val="00F2683D"/>
    <w:rsid w:val="00F438F0"/>
    <w:rsid w:val="00F622A5"/>
    <w:rsid w:val="00F72DB7"/>
    <w:rsid w:val="00F96CC4"/>
    <w:rsid w:val="00F9762C"/>
    <w:rsid w:val="00FA1E90"/>
    <w:rsid w:val="00FB56CB"/>
    <w:rsid w:val="00FB5AD0"/>
    <w:rsid w:val="00FB61CF"/>
    <w:rsid w:val="00FC4FA6"/>
    <w:rsid w:val="00FD0D66"/>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F2E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FF"/>
    <w:pPr>
      <w:keepNext/>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B7"/>
    <w:pPr>
      <w:ind w:left="720"/>
      <w:contextualSpacing/>
    </w:pPr>
  </w:style>
  <w:style w:type="character" w:styleId="CommentReference">
    <w:name w:val="annotation reference"/>
    <w:basedOn w:val="DefaultParagraphFont"/>
    <w:semiHidden/>
    <w:unhideWhenUsed/>
    <w:rsid w:val="009E58F9"/>
    <w:rPr>
      <w:sz w:val="16"/>
      <w:szCs w:val="16"/>
    </w:rPr>
  </w:style>
  <w:style w:type="paragraph" w:styleId="CommentText">
    <w:name w:val="annotation text"/>
    <w:basedOn w:val="Normal"/>
    <w:link w:val="CommentTextChar"/>
    <w:unhideWhenUsed/>
    <w:rsid w:val="009E58F9"/>
    <w:rPr>
      <w:sz w:val="20"/>
      <w:szCs w:val="20"/>
    </w:rPr>
  </w:style>
  <w:style w:type="character" w:customStyle="1" w:styleId="CommentTextChar">
    <w:name w:val="Comment Text Char"/>
    <w:basedOn w:val="DefaultParagraphFont"/>
    <w:link w:val="CommentText"/>
    <w:uiPriority w:val="99"/>
    <w:rsid w:val="009E58F9"/>
    <w:rPr>
      <w:sz w:val="20"/>
      <w:szCs w:val="20"/>
    </w:rPr>
  </w:style>
  <w:style w:type="paragraph" w:styleId="CommentSubject">
    <w:name w:val="annotation subject"/>
    <w:basedOn w:val="CommentText"/>
    <w:next w:val="CommentText"/>
    <w:link w:val="CommentSubjectChar"/>
    <w:uiPriority w:val="99"/>
    <w:semiHidden/>
    <w:unhideWhenUsed/>
    <w:rsid w:val="009E58F9"/>
    <w:rPr>
      <w:b/>
      <w:bCs/>
    </w:rPr>
  </w:style>
  <w:style w:type="character" w:customStyle="1" w:styleId="CommentSubjectChar">
    <w:name w:val="Comment Subject Char"/>
    <w:basedOn w:val="CommentTextChar"/>
    <w:link w:val="CommentSubject"/>
    <w:uiPriority w:val="99"/>
    <w:semiHidden/>
    <w:rsid w:val="009E58F9"/>
    <w:rPr>
      <w:b/>
      <w:bCs/>
      <w:sz w:val="20"/>
      <w:szCs w:val="20"/>
    </w:rPr>
  </w:style>
  <w:style w:type="paragraph" w:styleId="BalloonText">
    <w:name w:val="Balloon Text"/>
    <w:basedOn w:val="Normal"/>
    <w:link w:val="BalloonTextChar"/>
    <w:uiPriority w:val="99"/>
    <w:semiHidden/>
    <w:unhideWhenUsed/>
    <w:rsid w:val="009E58F9"/>
    <w:rPr>
      <w:rFonts w:ascii="Tahoma" w:hAnsi="Tahoma" w:cs="Tahoma"/>
      <w:sz w:val="16"/>
      <w:szCs w:val="16"/>
    </w:rPr>
  </w:style>
  <w:style w:type="character" w:customStyle="1" w:styleId="BalloonTextChar">
    <w:name w:val="Balloon Text Char"/>
    <w:basedOn w:val="DefaultParagraphFont"/>
    <w:link w:val="BalloonText"/>
    <w:uiPriority w:val="99"/>
    <w:semiHidden/>
    <w:rsid w:val="009E58F9"/>
    <w:rPr>
      <w:rFonts w:ascii="Tahoma" w:hAnsi="Tahoma" w:cs="Tahoma"/>
      <w:sz w:val="16"/>
      <w:szCs w:val="16"/>
    </w:rPr>
  </w:style>
  <w:style w:type="character" w:styleId="Strong">
    <w:name w:val="Strong"/>
    <w:basedOn w:val="DefaultParagraphFont"/>
    <w:uiPriority w:val="22"/>
    <w:qFormat/>
    <w:rsid w:val="00453205"/>
    <w:rPr>
      <w:b/>
      <w:bCs/>
    </w:rPr>
  </w:style>
  <w:style w:type="paragraph" w:styleId="Caption">
    <w:name w:val="caption"/>
    <w:basedOn w:val="Normal"/>
    <w:next w:val="Normal"/>
    <w:uiPriority w:val="35"/>
    <w:unhideWhenUsed/>
    <w:qFormat/>
    <w:rsid w:val="007C3C34"/>
    <w:rPr>
      <w:b/>
      <w:bCs/>
      <w:color w:val="E5C749" w:themeColor="accent1"/>
      <w:sz w:val="18"/>
      <w:szCs w:val="18"/>
    </w:rPr>
  </w:style>
  <w:style w:type="paragraph" w:styleId="FootnoteText">
    <w:name w:val="footnote text"/>
    <w:basedOn w:val="Normal"/>
    <w:link w:val="FootnoteTextChar"/>
    <w:uiPriority w:val="99"/>
    <w:semiHidden/>
    <w:unhideWhenUsed/>
    <w:rsid w:val="00390F92"/>
    <w:rPr>
      <w:sz w:val="20"/>
      <w:szCs w:val="20"/>
    </w:rPr>
  </w:style>
  <w:style w:type="character" w:customStyle="1" w:styleId="FootnoteTextChar">
    <w:name w:val="Footnote Text Char"/>
    <w:basedOn w:val="DefaultParagraphFont"/>
    <w:link w:val="FootnoteText"/>
    <w:uiPriority w:val="99"/>
    <w:semiHidden/>
    <w:rsid w:val="00390F92"/>
    <w:rPr>
      <w:sz w:val="20"/>
      <w:szCs w:val="20"/>
    </w:rPr>
  </w:style>
  <w:style w:type="character" w:styleId="FootnoteReference">
    <w:name w:val="footnote reference"/>
    <w:basedOn w:val="DefaultParagraphFont"/>
    <w:uiPriority w:val="99"/>
    <w:semiHidden/>
    <w:unhideWhenUsed/>
    <w:rsid w:val="00390F92"/>
    <w:rPr>
      <w:vertAlign w:val="superscript"/>
    </w:rPr>
  </w:style>
  <w:style w:type="paragraph" w:styleId="Revision">
    <w:name w:val="Revision"/>
    <w:hidden/>
    <w:uiPriority w:val="99"/>
    <w:semiHidden/>
    <w:rsid w:val="00CB1047"/>
    <w:pPr>
      <w:spacing w:after="0" w:line="240" w:lineRule="auto"/>
    </w:pPr>
  </w:style>
  <w:style w:type="paragraph" w:styleId="Header">
    <w:name w:val="header"/>
    <w:basedOn w:val="Normal"/>
    <w:link w:val="HeaderChar"/>
    <w:uiPriority w:val="99"/>
    <w:unhideWhenUsed/>
    <w:rsid w:val="00BD3683"/>
    <w:pPr>
      <w:tabs>
        <w:tab w:val="center" w:pos="4680"/>
        <w:tab w:val="right" w:pos="9360"/>
      </w:tabs>
    </w:pPr>
  </w:style>
  <w:style w:type="character" w:customStyle="1" w:styleId="HeaderChar">
    <w:name w:val="Header Char"/>
    <w:basedOn w:val="DefaultParagraphFont"/>
    <w:link w:val="Header"/>
    <w:uiPriority w:val="99"/>
    <w:rsid w:val="00BD3683"/>
  </w:style>
  <w:style w:type="paragraph" w:styleId="Footer">
    <w:name w:val="footer"/>
    <w:basedOn w:val="Normal"/>
    <w:link w:val="FooterChar"/>
    <w:uiPriority w:val="99"/>
    <w:unhideWhenUsed/>
    <w:rsid w:val="00BD3683"/>
    <w:pPr>
      <w:tabs>
        <w:tab w:val="center" w:pos="4680"/>
        <w:tab w:val="right" w:pos="9360"/>
      </w:tabs>
    </w:pPr>
  </w:style>
  <w:style w:type="character" w:customStyle="1" w:styleId="FooterChar">
    <w:name w:val="Footer Char"/>
    <w:basedOn w:val="DefaultParagraphFont"/>
    <w:link w:val="Footer"/>
    <w:uiPriority w:val="99"/>
    <w:rsid w:val="00BD3683"/>
  </w:style>
  <w:style w:type="character" w:styleId="Hyperlink">
    <w:name w:val="Hyperlink"/>
    <w:basedOn w:val="DefaultParagraphFont"/>
    <w:uiPriority w:val="99"/>
    <w:unhideWhenUsed/>
    <w:rsid w:val="0065127F"/>
    <w:rPr>
      <w:color w:val="5C280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FF"/>
    <w:pPr>
      <w:keepNext/>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B7"/>
    <w:pPr>
      <w:ind w:left="720"/>
      <w:contextualSpacing/>
    </w:pPr>
  </w:style>
  <w:style w:type="character" w:styleId="CommentReference">
    <w:name w:val="annotation reference"/>
    <w:basedOn w:val="DefaultParagraphFont"/>
    <w:semiHidden/>
    <w:unhideWhenUsed/>
    <w:rsid w:val="009E58F9"/>
    <w:rPr>
      <w:sz w:val="16"/>
      <w:szCs w:val="16"/>
    </w:rPr>
  </w:style>
  <w:style w:type="paragraph" w:styleId="CommentText">
    <w:name w:val="annotation text"/>
    <w:basedOn w:val="Normal"/>
    <w:link w:val="CommentTextChar"/>
    <w:unhideWhenUsed/>
    <w:rsid w:val="009E58F9"/>
    <w:rPr>
      <w:sz w:val="20"/>
      <w:szCs w:val="20"/>
    </w:rPr>
  </w:style>
  <w:style w:type="character" w:customStyle="1" w:styleId="CommentTextChar">
    <w:name w:val="Comment Text Char"/>
    <w:basedOn w:val="DefaultParagraphFont"/>
    <w:link w:val="CommentText"/>
    <w:uiPriority w:val="99"/>
    <w:rsid w:val="009E58F9"/>
    <w:rPr>
      <w:sz w:val="20"/>
      <w:szCs w:val="20"/>
    </w:rPr>
  </w:style>
  <w:style w:type="paragraph" w:styleId="CommentSubject">
    <w:name w:val="annotation subject"/>
    <w:basedOn w:val="CommentText"/>
    <w:next w:val="CommentText"/>
    <w:link w:val="CommentSubjectChar"/>
    <w:uiPriority w:val="99"/>
    <w:semiHidden/>
    <w:unhideWhenUsed/>
    <w:rsid w:val="009E58F9"/>
    <w:rPr>
      <w:b/>
      <w:bCs/>
    </w:rPr>
  </w:style>
  <w:style w:type="character" w:customStyle="1" w:styleId="CommentSubjectChar">
    <w:name w:val="Comment Subject Char"/>
    <w:basedOn w:val="CommentTextChar"/>
    <w:link w:val="CommentSubject"/>
    <w:uiPriority w:val="99"/>
    <w:semiHidden/>
    <w:rsid w:val="009E58F9"/>
    <w:rPr>
      <w:b/>
      <w:bCs/>
      <w:sz w:val="20"/>
      <w:szCs w:val="20"/>
    </w:rPr>
  </w:style>
  <w:style w:type="paragraph" w:styleId="BalloonText">
    <w:name w:val="Balloon Text"/>
    <w:basedOn w:val="Normal"/>
    <w:link w:val="BalloonTextChar"/>
    <w:uiPriority w:val="99"/>
    <w:semiHidden/>
    <w:unhideWhenUsed/>
    <w:rsid w:val="009E58F9"/>
    <w:rPr>
      <w:rFonts w:ascii="Tahoma" w:hAnsi="Tahoma" w:cs="Tahoma"/>
      <w:sz w:val="16"/>
      <w:szCs w:val="16"/>
    </w:rPr>
  </w:style>
  <w:style w:type="character" w:customStyle="1" w:styleId="BalloonTextChar">
    <w:name w:val="Balloon Text Char"/>
    <w:basedOn w:val="DefaultParagraphFont"/>
    <w:link w:val="BalloonText"/>
    <w:uiPriority w:val="99"/>
    <w:semiHidden/>
    <w:rsid w:val="009E58F9"/>
    <w:rPr>
      <w:rFonts w:ascii="Tahoma" w:hAnsi="Tahoma" w:cs="Tahoma"/>
      <w:sz w:val="16"/>
      <w:szCs w:val="16"/>
    </w:rPr>
  </w:style>
  <w:style w:type="character" w:styleId="Strong">
    <w:name w:val="Strong"/>
    <w:basedOn w:val="DefaultParagraphFont"/>
    <w:uiPriority w:val="22"/>
    <w:qFormat/>
    <w:rsid w:val="00453205"/>
    <w:rPr>
      <w:b/>
      <w:bCs/>
    </w:rPr>
  </w:style>
  <w:style w:type="paragraph" w:styleId="Caption">
    <w:name w:val="caption"/>
    <w:basedOn w:val="Normal"/>
    <w:next w:val="Normal"/>
    <w:uiPriority w:val="35"/>
    <w:unhideWhenUsed/>
    <w:qFormat/>
    <w:rsid w:val="007C3C34"/>
    <w:rPr>
      <w:b/>
      <w:bCs/>
      <w:color w:val="E5C749" w:themeColor="accent1"/>
      <w:sz w:val="18"/>
      <w:szCs w:val="18"/>
    </w:rPr>
  </w:style>
  <w:style w:type="paragraph" w:styleId="FootnoteText">
    <w:name w:val="footnote text"/>
    <w:basedOn w:val="Normal"/>
    <w:link w:val="FootnoteTextChar"/>
    <w:uiPriority w:val="99"/>
    <w:semiHidden/>
    <w:unhideWhenUsed/>
    <w:rsid w:val="00390F92"/>
    <w:rPr>
      <w:sz w:val="20"/>
      <w:szCs w:val="20"/>
    </w:rPr>
  </w:style>
  <w:style w:type="character" w:customStyle="1" w:styleId="FootnoteTextChar">
    <w:name w:val="Footnote Text Char"/>
    <w:basedOn w:val="DefaultParagraphFont"/>
    <w:link w:val="FootnoteText"/>
    <w:uiPriority w:val="99"/>
    <w:semiHidden/>
    <w:rsid w:val="00390F92"/>
    <w:rPr>
      <w:sz w:val="20"/>
      <w:szCs w:val="20"/>
    </w:rPr>
  </w:style>
  <w:style w:type="character" w:styleId="FootnoteReference">
    <w:name w:val="footnote reference"/>
    <w:basedOn w:val="DefaultParagraphFont"/>
    <w:uiPriority w:val="99"/>
    <w:semiHidden/>
    <w:unhideWhenUsed/>
    <w:rsid w:val="00390F92"/>
    <w:rPr>
      <w:vertAlign w:val="superscript"/>
    </w:rPr>
  </w:style>
  <w:style w:type="paragraph" w:styleId="Revision">
    <w:name w:val="Revision"/>
    <w:hidden/>
    <w:uiPriority w:val="99"/>
    <w:semiHidden/>
    <w:rsid w:val="00CB1047"/>
    <w:pPr>
      <w:spacing w:after="0" w:line="240" w:lineRule="auto"/>
    </w:pPr>
  </w:style>
  <w:style w:type="paragraph" w:styleId="Header">
    <w:name w:val="header"/>
    <w:basedOn w:val="Normal"/>
    <w:link w:val="HeaderChar"/>
    <w:uiPriority w:val="99"/>
    <w:unhideWhenUsed/>
    <w:rsid w:val="00BD3683"/>
    <w:pPr>
      <w:tabs>
        <w:tab w:val="center" w:pos="4680"/>
        <w:tab w:val="right" w:pos="9360"/>
      </w:tabs>
    </w:pPr>
  </w:style>
  <w:style w:type="character" w:customStyle="1" w:styleId="HeaderChar">
    <w:name w:val="Header Char"/>
    <w:basedOn w:val="DefaultParagraphFont"/>
    <w:link w:val="Header"/>
    <w:uiPriority w:val="99"/>
    <w:rsid w:val="00BD3683"/>
  </w:style>
  <w:style w:type="paragraph" w:styleId="Footer">
    <w:name w:val="footer"/>
    <w:basedOn w:val="Normal"/>
    <w:link w:val="FooterChar"/>
    <w:uiPriority w:val="99"/>
    <w:unhideWhenUsed/>
    <w:rsid w:val="00BD3683"/>
    <w:pPr>
      <w:tabs>
        <w:tab w:val="center" w:pos="4680"/>
        <w:tab w:val="right" w:pos="9360"/>
      </w:tabs>
    </w:pPr>
  </w:style>
  <w:style w:type="character" w:customStyle="1" w:styleId="FooterChar">
    <w:name w:val="Footer Char"/>
    <w:basedOn w:val="DefaultParagraphFont"/>
    <w:link w:val="Footer"/>
    <w:uiPriority w:val="99"/>
    <w:rsid w:val="00BD3683"/>
  </w:style>
  <w:style w:type="character" w:styleId="Hyperlink">
    <w:name w:val="Hyperlink"/>
    <w:basedOn w:val="DefaultParagraphFont"/>
    <w:uiPriority w:val="99"/>
    <w:unhideWhenUsed/>
    <w:rsid w:val="0065127F"/>
    <w:rPr>
      <w:color w:val="5C280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0700">
      <w:bodyDiv w:val="1"/>
      <w:marLeft w:val="0"/>
      <w:marRight w:val="0"/>
      <w:marTop w:val="0"/>
      <w:marBottom w:val="0"/>
      <w:divBdr>
        <w:top w:val="none" w:sz="0" w:space="0" w:color="auto"/>
        <w:left w:val="none" w:sz="0" w:space="0" w:color="auto"/>
        <w:bottom w:val="none" w:sz="0" w:space="0" w:color="auto"/>
        <w:right w:val="none" w:sz="0" w:space="0" w:color="auto"/>
      </w:divBdr>
      <w:divsChild>
        <w:div w:id="170295286">
          <w:marLeft w:val="0"/>
          <w:marRight w:val="0"/>
          <w:marTop w:val="0"/>
          <w:marBottom w:val="0"/>
          <w:divBdr>
            <w:top w:val="none" w:sz="0" w:space="0" w:color="auto"/>
            <w:left w:val="none" w:sz="0" w:space="0" w:color="auto"/>
            <w:bottom w:val="none" w:sz="0" w:space="0" w:color="auto"/>
            <w:right w:val="none" w:sz="0" w:space="0" w:color="auto"/>
          </w:divBdr>
        </w:div>
        <w:div w:id="285551413">
          <w:marLeft w:val="0"/>
          <w:marRight w:val="0"/>
          <w:marTop w:val="0"/>
          <w:marBottom w:val="0"/>
          <w:divBdr>
            <w:top w:val="none" w:sz="0" w:space="0" w:color="auto"/>
            <w:left w:val="none" w:sz="0" w:space="0" w:color="auto"/>
            <w:bottom w:val="none" w:sz="0" w:space="0" w:color="auto"/>
            <w:right w:val="none" w:sz="0" w:space="0" w:color="auto"/>
          </w:divBdr>
        </w:div>
        <w:div w:id="864909498">
          <w:marLeft w:val="0"/>
          <w:marRight w:val="0"/>
          <w:marTop w:val="0"/>
          <w:marBottom w:val="0"/>
          <w:divBdr>
            <w:top w:val="none" w:sz="0" w:space="0" w:color="auto"/>
            <w:left w:val="none" w:sz="0" w:space="0" w:color="auto"/>
            <w:bottom w:val="none" w:sz="0" w:space="0" w:color="auto"/>
            <w:right w:val="none" w:sz="0" w:space="0" w:color="auto"/>
          </w:divBdr>
        </w:div>
        <w:div w:id="1384792366">
          <w:marLeft w:val="0"/>
          <w:marRight w:val="0"/>
          <w:marTop w:val="0"/>
          <w:marBottom w:val="0"/>
          <w:divBdr>
            <w:top w:val="none" w:sz="0" w:space="0" w:color="auto"/>
            <w:left w:val="none" w:sz="0" w:space="0" w:color="auto"/>
            <w:bottom w:val="none" w:sz="0" w:space="0" w:color="auto"/>
            <w:right w:val="none" w:sz="0" w:space="0" w:color="auto"/>
          </w:divBdr>
        </w:div>
      </w:divsChild>
    </w:div>
    <w:div w:id="784739293">
      <w:bodyDiv w:val="1"/>
      <w:marLeft w:val="0"/>
      <w:marRight w:val="0"/>
      <w:marTop w:val="0"/>
      <w:marBottom w:val="0"/>
      <w:divBdr>
        <w:top w:val="none" w:sz="0" w:space="0" w:color="auto"/>
        <w:left w:val="none" w:sz="0" w:space="0" w:color="auto"/>
        <w:bottom w:val="none" w:sz="0" w:space="0" w:color="auto"/>
        <w:right w:val="none" w:sz="0" w:space="0" w:color="auto"/>
      </w:divBdr>
      <w:divsChild>
        <w:div w:id="659963112">
          <w:marLeft w:val="0"/>
          <w:marRight w:val="0"/>
          <w:marTop w:val="0"/>
          <w:marBottom w:val="0"/>
          <w:divBdr>
            <w:top w:val="none" w:sz="0" w:space="0" w:color="auto"/>
            <w:left w:val="none" w:sz="0" w:space="0" w:color="auto"/>
            <w:bottom w:val="none" w:sz="0" w:space="0" w:color="auto"/>
            <w:right w:val="none" w:sz="0" w:space="0" w:color="auto"/>
          </w:divBdr>
        </w:div>
        <w:div w:id="897478657">
          <w:marLeft w:val="0"/>
          <w:marRight w:val="0"/>
          <w:marTop w:val="0"/>
          <w:marBottom w:val="0"/>
          <w:divBdr>
            <w:top w:val="none" w:sz="0" w:space="0" w:color="auto"/>
            <w:left w:val="none" w:sz="0" w:space="0" w:color="auto"/>
            <w:bottom w:val="none" w:sz="0" w:space="0" w:color="auto"/>
            <w:right w:val="none" w:sz="0" w:space="0" w:color="auto"/>
          </w:divBdr>
        </w:div>
        <w:div w:id="1059093338">
          <w:marLeft w:val="0"/>
          <w:marRight w:val="0"/>
          <w:marTop w:val="0"/>
          <w:marBottom w:val="0"/>
          <w:divBdr>
            <w:top w:val="none" w:sz="0" w:space="0" w:color="auto"/>
            <w:left w:val="none" w:sz="0" w:space="0" w:color="auto"/>
            <w:bottom w:val="none" w:sz="0" w:space="0" w:color="auto"/>
            <w:right w:val="none" w:sz="0" w:space="0" w:color="auto"/>
          </w:divBdr>
        </w:div>
        <w:div w:id="1197430064">
          <w:marLeft w:val="0"/>
          <w:marRight w:val="0"/>
          <w:marTop w:val="0"/>
          <w:marBottom w:val="0"/>
          <w:divBdr>
            <w:top w:val="none" w:sz="0" w:space="0" w:color="auto"/>
            <w:left w:val="none" w:sz="0" w:space="0" w:color="auto"/>
            <w:bottom w:val="none" w:sz="0" w:space="0" w:color="auto"/>
            <w:right w:val="none" w:sz="0" w:space="0" w:color="auto"/>
          </w:divBdr>
        </w:div>
      </w:divsChild>
    </w:div>
    <w:div w:id="1323318498">
      <w:bodyDiv w:val="1"/>
      <w:marLeft w:val="0"/>
      <w:marRight w:val="0"/>
      <w:marTop w:val="0"/>
      <w:marBottom w:val="0"/>
      <w:divBdr>
        <w:top w:val="none" w:sz="0" w:space="0" w:color="auto"/>
        <w:left w:val="none" w:sz="0" w:space="0" w:color="auto"/>
        <w:bottom w:val="none" w:sz="0" w:space="0" w:color="auto"/>
        <w:right w:val="none" w:sz="0" w:space="0" w:color="auto"/>
      </w:divBdr>
    </w:div>
    <w:div w:id="1527257072">
      <w:bodyDiv w:val="1"/>
      <w:marLeft w:val="0"/>
      <w:marRight w:val="0"/>
      <w:marTop w:val="0"/>
      <w:marBottom w:val="0"/>
      <w:divBdr>
        <w:top w:val="none" w:sz="0" w:space="0" w:color="auto"/>
        <w:left w:val="none" w:sz="0" w:space="0" w:color="auto"/>
        <w:bottom w:val="none" w:sz="0" w:space="0" w:color="auto"/>
        <w:right w:val="none" w:sz="0" w:space="0" w:color="auto"/>
      </w:divBdr>
    </w:div>
    <w:div w:id="1698114951">
      <w:bodyDiv w:val="1"/>
      <w:marLeft w:val="0"/>
      <w:marRight w:val="0"/>
      <w:marTop w:val="0"/>
      <w:marBottom w:val="0"/>
      <w:divBdr>
        <w:top w:val="none" w:sz="0" w:space="0" w:color="auto"/>
        <w:left w:val="none" w:sz="0" w:space="0" w:color="auto"/>
        <w:bottom w:val="none" w:sz="0" w:space="0" w:color="auto"/>
        <w:right w:val="none" w:sz="0" w:space="0" w:color="auto"/>
      </w:divBdr>
    </w:div>
    <w:div w:id="1783765389">
      <w:bodyDiv w:val="1"/>
      <w:marLeft w:val="0"/>
      <w:marRight w:val="0"/>
      <w:marTop w:val="0"/>
      <w:marBottom w:val="0"/>
      <w:divBdr>
        <w:top w:val="none" w:sz="0" w:space="0" w:color="auto"/>
        <w:left w:val="none" w:sz="0" w:space="0" w:color="auto"/>
        <w:bottom w:val="none" w:sz="0" w:space="0" w:color="auto"/>
        <w:right w:val="none" w:sz="0" w:space="0" w:color="auto"/>
      </w:divBdr>
      <w:divsChild>
        <w:div w:id="475337724">
          <w:marLeft w:val="0"/>
          <w:marRight w:val="0"/>
          <w:marTop w:val="0"/>
          <w:marBottom w:val="0"/>
          <w:divBdr>
            <w:top w:val="none" w:sz="0" w:space="0" w:color="auto"/>
            <w:left w:val="none" w:sz="0" w:space="0" w:color="auto"/>
            <w:bottom w:val="none" w:sz="0" w:space="0" w:color="auto"/>
            <w:right w:val="none" w:sz="0" w:space="0" w:color="auto"/>
          </w:divBdr>
        </w:div>
        <w:div w:id="1250700169">
          <w:marLeft w:val="0"/>
          <w:marRight w:val="0"/>
          <w:marTop w:val="0"/>
          <w:marBottom w:val="0"/>
          <w:divBdr>
            <w:top w:val="none" w:sz="0" w:space="0" w:color="auto"/>
            <w:left w:val="none" w:sz="0" w:space="0" w:color="auto"/>
            <w:bottom w:val="none" w:sz="0" w:space="0" w:color="auto"/>
            <w:right w:val="none" w:sz="0" w:space="0" w:color="auto"/>
          </w:divBdr>
        </w:div>
        <w:div w:id="1675844034">
          <w:marLeft w:val="0"/>
          <w:marRight w:val="0"/>
          <w:marTop w:val="0"/>
          <w:marBottom w:val="0"/>
          <w:divBdr>
            <w:top w:val="none" w:sz="0" w:space="0" w:color="auto"/>
            <w:left w:val="none" w:sz="0" w:space="0" w:color="auto"/>
            <w:bottom w:val="none" w:sz="0" w:space="0" w:color="auto"/>
            <w:right w:val="none" w:sz="0" w:space="0" w:color="auto"/>
          </w:divBdr>
        </w:div>
        <w:div w:id="1811629316">
          <w:marLeft w:val="0"/>
          <w:marRight w:val="0"/>
          <w:marTop w:val="0"/>
          <w:marBottom w:val="0"/>
          <w:divBdr>
            <w:top w:val="none" w:sz="0" w:space="0" w:color="auto"/>
            <w:left w:val="none" w:sz="0" w:space="0" w:color="auto"/>
            <w:bottom w:val="none" w:sz="0" w:space="0" w:color="auto"/>
            <w:right w:val="none" w:sz="0" w:space="0" w:color="auto"/>
          </w:divBdr>
        </w:div>
      </w:divsChild>
    </w:div>
    <w:div w:id="21225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hyperlink" Target="http://www.evo-world.org/index.php?option=com_content&amp;view=article&amp;id=272&amp;Itemid=379&amp;lang=en" TargetMode="Externa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beaman\Desktop\Work\Nicor\IEPPEC%20Paper\Nicor%20Gas%20Custom%20On-site%20Results%20PY1%20and%20PY2_Analysis_Upda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beaman\Desktop\Work\Nicor\IEPPEC%20Paper\Nicor%20Gas%20Custom%20On-site%20Results%20PY1%20and%20PY2_Analysis_Upd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beaman\Desktop\Work\Nicor\IEPPEC%20Paper\Nicor%20Gas%20Custom%20On-site%20Results%20PY1%20and%20PY2_Analysis_Update.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'Analysis -JM Plot 1 (2)'!$L$14</c:f>
              <c:strCache>
                <c:ptCount val="1"/>
                <c:pt idx="0">
                  <c:v>Bottom</c:v>
                </c:pt>
              </c:strCache>
            </c:strRef>
          </c:tx>
          <c:spPr>
            <a:noFill/>
            <a:ln>
              <a:noFill/>
            </a:ln>
          </c:spPr>
          <c:invertIfNegative val="0"/>
          <c:errBars>
            <c:errBarType val="minus"/>
            <c:errValType val="cust"/>
            <c:noEndCap val="0"/>
            <c:plus>
              <c:numLit>
                <c:formatCode>General</c:formatCode>
                <c:ptCount val="1"/>
                <c:pt idx="0">
                  <c:v>1</c:v>
                </c:pt>
              </c:numLit>
            </c:plus>
            <c:minus>
              <c:numRef>
                <c:f>'Analysis -JM Plot 1 (2)'!$M$17:$N$17</c:f>
                <c:numCache>
                  <c:formatCode>General</c:formatCode>
                  <c:ptCount val="2"/>
                  <c:pt idx="0">
                    <c:v>0.3175</c:v>
                  </c:pt>
                  <c:pt idx="1">
                    <c:v>0.69</c:v>
                  </c:pt>
                </c:numCache>
              </c:numRef>
            </c:minus>
          </c:errBars>
          <c:cat>
            <c:strRef>
              <c:f>'Analysis -JM Plot 1 (2)'!$M$5:$N$5</c:f>
              <c:strCache>
                <c:ptCount val="2"/>
                <c:pt idx="0">
                  <c:v>PY1 - Final</c:v>
                </c:pt>
                <c:pt idx="1">
                  <c:v>PY2 - Final</c:v>
                </c:pt>
              </c:strCache>
            </c:strRef>
          </c:cat>
          <c:val>
            <c:numRef>
              <c:f>'Analysis -JM Plot 1 (2)'!$M$14:$N$14</c:f>
              <c:numCache>
                <c:formatCode>0%</c:formatCode>
                <c:ptCount val="2"/>
                <c:pt idx="0">
                  <c:v>0.73750000000000004</c:v>
                </c:pt>
                <c:pt idx="1">
                  <c:v>0.98</c:v>
                </c:pt>
              </c:numCache>
            </c:numRef>
          </c:val>
        </c:ser>
        <c:ser>
          <c:idx val="1"/>
          <c:order val="1"/>
          <c:tx>
            <c:strRef>
              <c:f>'Analysis -JM Plot 1 (2)'!$L$15</c:f>
              <c:strCache>
                <c:ptCount val="1"/>
                <c:pt idx="0">
                  <c:v>2Q Box</c:v>
                </c:pt>
              </c:strCache>
            </c:strRef>
          </c:tx>
          <c:spPr>
            <a:solidFill>
              <a:schemeClr val="bg1">
                <a:lumMod val="85000"/>
              </a:schemeClr>
            </a:solidFill>
            <a:ln>
              <a:solidFill>
                <a:schemeClr val="tx1"/>
              </a:solidFill>
            </a:ln>
          </c:spPr>
          <c:invertIfNegative val="0"/>
          <c:cat>
            <c:strRef>
              <c:f>'Analysis -JM Plot 1 (2)'!$M$5:$N$5</c:f>
              <c:strCache>
                <c:ptCount val="2"/>
                <c:pt idx="0">
                  <c:v>PY1 - Final</c:v>
                </c:pt>
                <c:pt idx="1">
                  <c:v>PY2 - Final</c:v>
                </c:pt>
              </c:strCache>
            </c:strRef>
          </c:cat>
          <c:val>
            <c:numRef>
              <c:f>'Analysis -JM Plot 1 (2)'!$M$15:$N$15</c:f>
              <c:numCache>
                <c:formatCode>0%</c:formatCode>
                <c:ptCount val="2"/>
                <c:pt idx="0">
                  <c:v>0.14249999999999999</c:v>
                </c:pt>
                <c:pt idx="1">
                  <c:v>8.0000000000000099E-2</c:v>
                </c:pt>
              </c:numCache>
            </c:numRef>
          </c:val>
        </c:ser>
        <c:ser>
          <c:idx val="2"/>
          <c:order val="2"/>
          <c:tx>
            <c:strRef>
              <c:f>'Analysis -JM Plot 1 (2)'!$L$16</c:f>
              <c:strCache>
                <c:ptCount val="1"/>
                <c:pt idx="0">
                  <c:v>3Q Box</c:v>
                </c:pt>
              </c:strCache>
            </c:strRef>
          </c:tx>
          <c:spPr>
            <a:solidFill>
              <a:schemeClr val="bg1">
                <a:lumMod val="85000"/>
              </a:schemeClr>
            </a:solidFill>
            <a:ln>
              <a:solidFill>
                <a:schemeClr val="tx1"/>
              </a:solidFill>
            </a:ln>
          </c:spPr>
          <c:invertIfNegative val="0"/>
          <c:errBars>
            <c:errBarType val="plus"/>
            <c:errValType val="cust"/>
            <c:noEndCap val="0"/>
            <c:plus>
              <c:numRef>
                <c:f>'Analysis -JM Plot 1 (2)'!$M$18:$N$18</c:f>
                <c:numCache>
                  <c:formatCode>General</c:formatCode>
                  <c:ptCount val="2"/>
                  <c:pt idx="0">
                    <c:v>0.23499999999999999</c:v>
                  </c:pt>
                  <c:pt idx="1">
                    <c:v>0.85250000000000004</c:v>
                  </c:pt>
                </c:numCache>
              </c:numRef>
            </c:plus>
            <c:minus>
              <c:numLit>
                <c:formatCode>General</c:formatCode>
                <c:ptCount val="1"/>
                <c:pt idx="0">
                  <c:v>1</c:v>
                </c:pt>
              </c:numLit>
            </c:minus>
          </c:errBars>
          <c:cat>
            <c:strRef>
              <c:f>'Analysis -JM Plot 1 (2)'!$M$5:$N$5</c:f>
              <c:strCache>
                <c:ptCount val="2"/>
                <c:pt idx="0">
                  <c:v>PY1 - Final</c:v>
                </c:pt>
                <c:pt idx="1">
                  <c:v>PY2 - Final</c:v>
                </c:pt>
              </c:strCache>
            </c:strRef>
          </c:cat>
          <c:val>
            <c:numRef>
              <c:f>'Analysis -JM Plot 1 (2)'!$M$16:$N$16</c:f>
              <c:numCache>
                <c:formatCode>0%</c:formatCode>
                <c:ptCount val="2"/>
                <c:pt idx="0">
                  <c:v>0.13500000000000001</c:v>
                </c:pt>
                <c:pt idx="1">
                  <c:v>0.17749999999999999</c:v>
                </c:pt>
              </c:numCache>
            </c:numRef>
          </c:val>
        </c:ser>
        <c:dLbls>
          <c:showLegendKey val="0"/>
          <c:showVal val="0"/>
          <c:showCatName val="0"/>
          <c:showSerName val="0"/>
          <c:showPercent val="0"/>
          <c:showBubbleSize val="0"/>
        </c:dLbls>
        <c:gapWidth val="150"/>
        <c:overlap val="100"/>
        <c:axId val="188075008"/>
        <c:axId val="193479808"/>
      </c:barChart>
      <c:scatterChart>
        <c:scatterStyle val="lineMarker"/>
        <c:varyColors val="0"/>
        <c:ser>
          <c:idx val="3"/>
          <c:order val="3"/>
          <c:tx>
            <c:strRef>
              <c:f>'Analysis -JM Plot 1 (2)'!$L$20</c:f>
              <c:strCache>
                <c:ptCount val="1"/>
                <c:pt idx="0">
                  <c:v>Normalized Offset</c:v>
                </c:pt>
              </c:strCache>
            </c:strRef>
          </c:tx>
          <c:spPr>
            <a:ln w="28575">
              <a:noFill/>
            </a:ln>
          </c:spPr>
          <c:marker>
            <c:symbol val="diamond"/>
            <c:size val="4"/>
            <c:spPr>
              <a:solidFill>
                <a:schemeClr val="tx1"/>
              </a:solidFill>
              <a:ln>
                <a:solidFill>
                  <a:schemeClr val="tx1"/>
                </a:solidFill>
              </a:ln>
            </c:spPr>
          </c:marker>
          <c:xVal>
            <c:numRef>
              <c:f>'Analysis -JM Plot 1 (2)'!$M$7:$N$7</c:f>
              <c:numCache>
                <c:formatCode>0%</c:formatCode>
                <c:ptCount val="2"/>
                <c:pt idx="0">
                  <c:v>0.86611111111111105</c:v>
                </c:pt>
                <c:pt idx="1">
                  <c:v>1.1054999999999999</c:v>
                </c:pt>
              </c:numCache>
            </c:numRef>
          </c:xVal>
          <c:yVal>
            <c:numRef>
              <c:f>'Analysis -JM Plot 1 (2)'!$M$20:$N$20</c:f>
              <c:numCache>
                <c:formatCode>General</c:formatCode>
                <c:ptCount val="2"/>
                <c:pt idx="0">
                  <c:v>6</c:v>
                </c:pt>
                <c:pt idx="1">
                  <c:v>20</c:v>
                </c:pt>
              </c:numCache>
            </c:numRef>
          </c:yVal>
          <c:smooth val="0"/>
        </c:ser>
        <c:dLbls>
          <c:showLegendKey val="0"/>
          <c:showVal val="0"/>
          <c:showCatName val="0"/>
          <c:showSerName val="0"/>
          <c:showPercent val="0"/>
          <c:showBubbleSize val="0"/>
        </c:dLbls>
        <c:axId val="194974464"/>
        <c:axId val="193481728"/>
      </c:scatterChart>
      <c:catAx>
        <c:axId val="188075008"/>
        <c:scaling>
          <c:orientation val="minMax"/>
        </c:scaling>
        <c:delete val="0"/>
        <c:axPos val="l"/>
        <c:majorTickMark val="out"/>
        <c:minorTickMark val="none"/>
        <c:tickLblPos val="nextTo"/>
        <c:crossAx val="193479808"/>
        <c:crosses val="autoZero"/>
        <c:auto val="1"/>
        <c:lblAlgn val="ctr"/>
        <c:lblOffset val="100"/>
        <c:noMultiLvlLbl val="0"/>
      </c:catAx>
      <c:valAx>
        <c:axId val="193479808"/>
        <c:scaling>
          <c:orientation val="minMax"/>
        </c:scaling>
        <c:delete val="0"/>
        <c:axPos val="b"/>
        <c:majorGridlines/>
        <c:title>
          <c:tx>
            <c:rich>
              <a:bodyPr/>
              <a:lstStyle/>
              <a:p>
                <a:pPr>
                  <a:defRPr/>
                </a:pPr>
                <a:r>
                  <a:rPr lang="en-US"/>
                  <a:t>Realization Rate</a:t>
                </a:r>
              </a:p>
            </c:rich>
          </c:tx>
          <c:overlay val="0"/>
        </c:title>
        <c:numFmt formatCode="0%" sourceLinked="1"/>
        <c:majorTickMark val="out"/>
        <c:minorTickMark val="none"/>
        <c:tickLblPos val="nextTo"/>
        <c:crossAx val="188075008"/>
        <c:crosses val="autoZero"/>
        <c:crossBetween val="between"/>
      </c:valAx>
      <c:valAx>
        <c:axId val="193481728"/>
        <c:scaling>
          <c:orientation val="minMax"/>
        </c:scaling>
        <c:delete val="1"/>
        <c:axPos val="r"/>
        <c:numFmt formatCode="General" sourceLinked="1"/>
        <c:majorTickMark val="out"/>
        <c:minorTickMark val="none"/>
        <c:tickLblPos val="nextTo"/>
        <c:crossAx val="194974464"/>
        <c:crosses val="max"/>
        <c:crossBetween val="midCat"/>
      </c:valAx>
      <c:valAx>
        <c:axId val="194974464"/>
        <c:scaling>
          <c:orientation val="minMax"/>
        </c:scaling>
        <c:delete val="1"/>
        <c:axPos val="b"/>
        <c:numFmt formatCode="0%" sourceLinked="1"/>
        <c:majorTickMark val="out"/>
        <c:minorTickMark val="none"/>
        <c:tickLblPos val="nextTo"/>
        <c:crossAx val="193481728"/>
        <c:crosses val="autoZero"/>
        <c:crossBetween val="midCat"/>
      </c:valAx>
    </c:plotArea>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'Analysis -JM Plot 1'!$L$14</c:f>
              <c:strCache>
                <c:ptCount val="1"/>
                <c:pt idx="0">
                  <c:v>Bottom</c:v>
                </c:pt>
              </c:strCache>
            </c:strRef>
          </c:tx>
          <c:spPr>
            <a:noFill/>
            <a:ln>
              <a:noFill/>
            </a:ln>
          </c:spPr>
          <c:invertIfNegative val="0"/>
          <c:errBars>
            <c:errBarType val="minus"/>
            <c:errValType val="cust"/>
            <c:noEndCap val="0"/>
            <c:plus>
              <c:numLit>
                <c:formatCode>General</c:formatCode>
                <c:ptCount val="1"/>
                <c:pt idx="0">
                  <c:v>1</c:v>
                </c:pt>
              </c:numLit>
            </c:plus>
            <c:minus>
              <c:numRef>
                <c:f>'Analysis -JM Plot 1'!$M$17:$O$17</c:f>
                <c:numCache>
                  <c:formatCode>General</c:formatCode>
                  <c:ptCount val="3"/>
                  <c:pt idx="0">
                    <c:v>0.272279419047535</c:v>
                  </c:pt>
                  <c:pt idx="1">
                    <c:v>0.3175</c:v>
                  </c:pt>
                  <c:pt idx="2">
                    <c:v>0.69</c:v>
                  </c:pt>
                </c:numCache>
              </c:numRef>
            </c:minus>
          </c:errBars>
          <c:cat>
            <c:strRef>
              <c:f>'Analysis -JM Plot 1'!$M$5:$O$5</c:f>
              <c:strCache>
                <c:ptCount val="3"/>
                <c:pt idx="0">
                  <c:v>PY1-Original</c:v>
                </c:pt>
                <c:pt idx="1">
                  <c:v>PY1-Final</c:v>
                </c:pt>
                <c:pt idx="2">
                  <c:v>PY2-Original &amp; Final</c:v>
                </c:pt>
              </c:strCache>
            </c:strRef>
          </c:cat>
          <c:val>
            <c:numRef>
              <c:f>'Analysis -JM Plot 1'!$M$14:$O$14</c:f>
              <c:numCache>
                <c:formatCode>0%</c:formatCode>
                <c:ptCount val="3"/>
                <c:pt idx="0">
                  <c:v>0.52103687431592405</c:v>
                </c:pt>
                <c:pt idx="1">
                  <c:v>0.73750000000000004</c:v>
                </c:pt>
                <c:pt idx="2">
                  <c:v>0.98</c:v>
                </c:pt>
              </c:numCache>
            </c:numRef>
          </c:val>
        </c:ser>
        <c:ser>
          <c:idx val="1"/>
          <c:order val="1"/>
          <c:tx>
            <c:strRef>
              <c:f>'Analysis -JM Plot 1'!$L$15</c:f>
              <c:strCache>
                <c:ptCount val="1"/>
                <c:pt idx="0">
                  <c:v>2Q Box</c:v>
                </c:pt>
              </c:strCache>
            </c:strRef>
          </c:tx>
          <c:spPr>
            <a:solidFill>
              <a:schemeClr val="bg1">
                <a:lumMod val="85000"/>
              </a:schemeClr>
            </a:solidFill>
            <a:ln>
              <a:solidFill>
                <a:schemeClr val="tx1"/>
              </a:solidFill>
            </a:ln>
          </c:spPr>
          <c:invertIfNegative val="0"/>
          <c:cat>
            <c:strRef>
              <c:f>'Analysis -JM Plot 1'!$M$5:$O$5</c:f>
              <c:strCache>
                <c:ptCount val="3"/>
                <c:pt idx="0">
                  <c:v>PY1-Original</c:v>
                </c:pt>
                <c:pt idx="1">
                  <c:v>PY1-Final</c:v>
                </c:pt>
                <c:pt idx="2">
                  <c:v>PY2-Original &amp; Final</c:v>
                </c:pt>
              </c:strCache>
            </c:strRef>
          </c:cat>
          <c:val>
            <c:numRef>
              <c:f>'Analysis -JM Plot 1'!$M$15:$O$15</c:f>
              <c:numCache>
                <c:formatCode>0%</c:formatCode>
                <c:ptCount val="3"/>
                <c:pt idx="0">
                  <c:v>0.181697291583338</c:v>
                </c:pt>
                <c:pt idx="1">
                  <c:v>0.14249999999999999</c:v>
                </c:pt>
                <c:pt idx="2">
                  <c:v>8.0000000000000099E-2</c:v>
                </c:pt>
              </c:numCache>
            </c:numRef>
          </c:val>
        </c:ser>
        <c:ser>
          <c:idx val="2"/>
          <c:order val="2"/>
          <c:tx>
            <c:strRef>
              <c:f>'Analysis -JM Plot 1'!$L$16</c:f>
              <c:strCache>
                <c:ptCount val="1"/>
                <c:pt idx="0">
                  <c:v>3Q Box</c:v>
                </c:pt>
              </c:strCache>
            </c:strRef>
          </c:tx>
          <c:spPr>
            <a:solidFill>
              <a:schemeClr val="bg1">
                <a:lumMod val="85000"/>
              </a:schemeClr>
            </a:solidFill>
            <a:ln>
              <a:solidFill>
                <a:schemeClr val="tx1"/>
              </a:solidFill>
            </a:ln>
          </c:spPr>
          <c:invertIfNegative val="0"/>
          <c:errBars>
            <c:errBarType val="plus"/>
            <c:errValType val="cust"/>
            <c:noEndCap val="0"/>
            <c:plus>
              <c:numRef>
                <c:f>'Analysis -JM Plot 1'!$M$18:$O$18</c:f>
                <c:numCache>
                  <c:formatCode>General</c:formatCode>
                  <c:ptCount val="3"/>
                  <c:pt idx="0">
                    <c:v>0.36783306387304099</c:v>
                  </c:pt>
                  <c:pt idx="1">
                    <c:v>0.23499999999999999</c:v>
                  </c:pt>
                  <c:pt idx="2">
                    <c:v>0.85250000000000004</c:v>
                  </c:pt>
                </c:numCache>
              </c:numRef>
            </c:plus>
            <c:minus>
              <c:numLit>
                <c:formatCode>General</c:formatCode>
                <c:ptCount val="1"/>
                <c:pt idx="0">
                  <c:v>1</c:v>
                </c:pt>
              </c:numLit>
            </c:minus>
          </c:errBars>
          <c:cat>
            <c:strRef>
              <c:f>'Analysis -JM Plot 1'!$M$5:$O$5</c:f>
              <c:strCache>
                <c:ptCount val="3"/>
                <c:pt idx="0">
                  <c:v>PY1-Original</c:v>
                </c:pt>
                <c:pt idx="1">
                  <c:v>PY1-Final</c:v>
                </c:pt>
                <c:pt idx="2">
                  <c:v>PY2-Original &amp; Final</c:v>
                </c:pt>
              </c:strCache>
            </c:strRef>
          </c:cat>
          <c:val>
            <c:numRef>
              <c:f>'Analysis -JM Plot 1'!$M$16:$O$16</c:f>
              <c:numCache>
                <c:formatCode>0%</c:formatCode>
                <c:ptCount val="3"/>
                <c:pt idx="0">
                  <c:v>0.17943138721660501</c:v>
                </c:pt>
                <c:pt idx="1">
                  <c:v>0.13500000000000001</c:v>
                </c:pt>
                <c:pt idx="2">
                  <c:v>0.17749999999999999</c:v>
                </c:pt>
              </c:numCache>
            </c:numRef>
          </c:val>
        </c:ser>
        <c:dLbls>
          <c:showLegendKey val="0"/>
          <c:showVal val="0"/>
          <c:showCatName val="0"/>
          <c:showSerName val="0"/>
          <c:showPercent val="0"/>
          <c:showBubbleSize val="0"/>
        </c:dLbls>
        <c:gapWidth val="150"/>
        <c:overlap val="100"/>
        <c:axId val="195014016"/>
        <c:axId val="195106304"/>
      </c:barChart>
      <c:scatterChart>
        <c:scatterStyle val="lineMarker"/>
        <c:varyColors val="0"/>
        <c:ser>
          <c:idx val="3"/>
          <c:order val="3"/>
          <c:tx>
            <c:strRef>
              <c:f>'Analysis -JM Plot 1'!$L$20</c:f>
              <c:strCache>
                <c:ptCount val="1"/>
                <c:pt idx="0">
                  <c:v>Normalized Offset</c:v>
                </c:pt>
              </c:strCache>
            </c:strRef>
          </c:tx>
          <c:spPr>
            <a:ln w="28575">
              <a:noFill/>
            </a:ln>
          </c:spPr>
          <c:marker>
            <c:symbol val="diamond"/>
            <c:size val="4"/>
            <c:spPr>
              <a:solidFill>
                <a:schemeClr val="tx1"/>
              </a:solidFill>
              <a:ln>
                <a:solidFill>
                  <a:schemeClr val="tx1"/>
                </a:solidFill>
              </a:ln>
            </c:spPr>
          </c:marker>
          <c:xVal>
            <c:numRef>
              <c:f>'Analysis -JM Plot 1'!$M$7:$O$7</c:f>
              <c:numCache>
                <c:formatCode>0%</c:formatCode>
                <c:ptCount val="3"/>
                <c:pt idx="0">
                  <c:v>0.70845766483029204</c:v>
                </c:pt>
                <c:pt idx="1">
                  <c:v>0.86611111111111105</c:v>
                </c:pt>
                <c:pt idx="2">
                  <c:v>1.1054999999999999</c:v>
                </c:pt>
              </c:numCache>
            </c:numRef>
          </c:xVal>
          <c:yVal>
            <c:numRef>
              <c:f>'Analysis -JM Plot 1'!$M$20:$O$20</c:f>
              <c:numCache>
                <c:formatCode>General</c:formatCode>
                <c:ptCount val="3"/>
                <c:pt idx="0">
                  <c:v>20</c:v>
                </c:pt>
                <c:pt idx="1">
                  <c:v>60</c:v>
                </c:pt>
                <c:pt idx="2">
                  <c:v>100</c:v>
                </c:pt>
              </c:numCache>
            </c:numRef>
          </c:yVal>
          <c:smooth val="0"/>
        </c:ser>
        <c:dLbls>
          <c:showLegendKey val="0"/>
          <c:showVal val="0"/>
          <c:showCatName val="0"/>
          <c:showSerName val="0"/>
          <c:showPercent val="0"/>
          <c:showBubbleSize val="0"/>
        </c:dLbls>
        <c:axId val="196084864"/>
        <c:axId val="195108224"/>
      </c:scatterChart>
      <c:catAx>
        <c:axId val="195014016"/>
        <c:scaling>
          <c:orientation val="minMax"/>
        </c:scaling>
        <c:delete val="0"/>
        <c:axPos val="l"/>
        <c:majorTickMark val="out"/>
        <c:minorTickMark val="none"/>
        <c:tickLblPos val="nextTo"/>
        <c:crossAx val="195106304"/>
        <c:crosses val="autoZero"/>
        <c:auto val="1"/>
        <c:lblAlgn val="ctr"/>
        <c:lblOffset val="100"/>
        <c:noMultiLvlLbl val="0"/>
      </c:catAx>
      <c:valAx>
        <c:axId val="195106304"/>
        <c:scaling>
          <c:orientation val="minMax"/>
        </c:scaling>
        <c:delete val="0"/>
        <c:axPos val="b"/>
        <c:majorGridlines/>
        <c:title>
          <c:tx>
            <c:rich>
              <a:bodyPr/>
              <a:lstStyle/>
              <a:p>
                <a:pPr>
                  <a:defRPr/>
                </a:pPr>
                <a:r>
                  <a:rPr lang="en-US"/>
                  <a:t>Realization Rate</a:t>
                </a:r>
              </a:p>
            </c:rich>
          </c:tx>
          <c:overlay val="0"/>
        </c:title>
        <c:numFmt formatCode="0%" sourceLinked="1"/>
        <c:majorTickMark val="out"/>
        <c:minorTickMark val="none"/>
        <c:tickLblPos val="nextTo"/>
        <c:crossAx val="195014016"/>
        <c:crosses val="autoZero"/>
        <c:crossBetween val="between"/>
      </c:valAx>
      <c:valAx>
        <c:axId val="195108224"/>
        <c:scaling>
          <c:orientation val="minMax"/>
        </c:scaling>
        <c:delete val="1"/>
        <c:axPos val="r"/>
        <c:numFmt formatCode="General" sourceLinked="1"/>
        <c:majorTickMark val="out"/>
        <c:minorTickMark val="none"/>
        <c:tickLblPos val="nextTo"/>
        <c:crossAx val="196084864"/>
        <c:crosses val="max"/>
        <c:crossBetween val="midCat"/>
      </c:valAx>
      <c:valAx>
        <c:axId val="196084864"/>
        <c:scaling>
          <c:orientation val="minMax"/>
        </c:scaling>
        <c:delete val="1"/>
        <c:axPos val="b"/>
        <c:numFmt formatCode="0%" sourceLinked="1"/>
        <c:majorTickMark val="out"/>
        <c:minorTickMark val="none"/>
        <c:tickLblPos val="nextTo"/>
        <c:crossAx val="195108224"/>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'Analysis - JM Plot 2'!$L$14</c:f>
              <c:strCache>
                <c:ptCount val="1"/>
                <c:pt idx="0">
                  <c:v>Bottom</c:v>
                </c:pt>
              </c:strCache>
            </c:strRef>
          </c:tx>
          <c:spPr>
            <a:noFill/>
            <a:ln>
              <a:noFill/>
            </a:ln>
          </c:spPr>
          <c:invertIfNegative val="0"/>
          <c:errBars>
            <c:errBarType val="minus"/>
            <c:errValType val="cust"/>
            <c:noEndCap val="0"/>
            <c:plus>
              <c:numLit>
                <c:formatCode>General</c:formatCode>
                <c:ptCount val="1"/>
                <c:pt idx="0">
                  <c:v>1</c:v>
                </c:pt>
              </c:numLit>
            </c:plus>
            <c:minus>
              <c:numRef>
                <c:f>'Analysis - JM Plot 2'!$M$17:$P$17</c:f>
                <c:numCache>
                  <c:formatCode>General</c:formatCode>
                  <c:ptCount val="4"/>
                  <c:pt idx="0">
                    <c:v>0.3175</c:v>
                  </c:pt>
                  <c:pt idx="1">
                    <c:v>0.26500000000000001</c:v>
                  </c:pt>
                  <c:pt idx="2">
                    <c:v>0.69</c:v>
                  </c:pt>
                  <c:pt idx="3">
                    <c:v>7.0000000000000007E-2</c:v>
                  </c:pt>
                </c:numCache>
              </c:numRef>
            </c:minus>
          </c:errBars>
          <c:cat>
            <c:strRef>
              <c:f>'Analysis - JM Plot 2'!$M$5:$P$5</c:f>
              <c:strCache>
                <c:ptCount val="4"/>
                <c:pt idx="0">
                  <c:v>PY1- Final</c:v>
                </c:pt>
                <c:pt idx="1">
                  <c:v>PY1-Normalized</c:v>
                </c:pt>
                <c:pt idx="2">
                  <c:v>PY2-Original &amp; Final</c:v>
                </c:pt>
                <c:pt idx="3">
                  <c:v>PY2-Normalized</c:v>
                </c:pt>
              </c:strCache>
            </c:strRef>
          </c:cat>
          <c:val>
            <c:numRef>
              <c:f>'Analysis - JM Plot 2'!$M$14:$P$14</c:f>
              <c:numCache>
                <c:formatCode>0%</c:formatCode>
                <c:ptCount val="4"/>
                <c:pt idx="0">
                  <c:v>0.73750000000000004</c:v>
                </c:pt>
                <c:pt idx="1">
                  <c:v>0.68500000000000005</c:v>
                </c:pt>
                <c:pt idx="2">
                  <c:v>0.98</c:v>
                </c:pt>
                <c:pt idx="3">
                  <c:v>1</c:v>
                </c:pt>
              </c:numCache>
            </c:numRef>
          </c:val>
        </c:ser>
        <c:ser>
          <c:idx val="1"/>
          <c:order val="1"/>
          <c:tx>
            <c:strRef>
              <c:f>'Analysis - JM Plot 2'!$L$15</c:f>
              <c:strCache>
                <c:ptCount val="1"/>
                <c:pt idx="0">
                  <c:v>2Q Box</c:v>
                </c:pt>
              </c:strCache>
            </c:strRef>
          </c:tx>
          <c:spPr>
            <a:solidFill>
              <a:schemeClr val="bg1">
                <a:lumMod val="85000"/>
              </a:schemeClr>
            </a:solidFill>
            <a:ln>
              <a:solidFill>
                <a:schemeClr val="tx1"/>
              </a:solidFill>
            </a:ln>
          </c:spPr>
          <c:invertIfNegative val="0"/>
          <c:cat>
            <c:strRef>
              <c:f>'Analysis - JM Plot 2'!$M$5:$P$5</c:f>
              <c:strCache>
                <c:ptCount val="4"/>
                <c:pt idx="0">
                  <c:v>PY1- Final</c:v>
                </c:pt>
                <c:pt idx="1">
                  <c:v>PY1-Normalized</c:v>
                </c:pt>
                <c:pt idx="2">
                  <c:v>PY2-Original &amp; Final</c:v>
                </c:pt>
                <c:pt idx="3">
                  <c:v>PY2-Normalized</c:v>
                </c:pt>
              </c:strCache>
            </c:strRef>
          </c:cat>
          <c:val>
            <c:numRef>
              <c:f>'Analysis - JM Plot 2'!$M$15:$P$15</c:f>
              <c:numCache>
                <c:formatCode>0%</c:formatCode>
                <c:ptCount val="4"/>
                <c:pt idx="0">
                  <c:v>0.14249999999999999</c:v>
                </c:pt>
                <c:pt idx="1">
                  <c:v>9.5000000000000001E-2</c:v>
                </c:pt>
                <c:pt idx="2">
                  <c:v>8.0000000000000099E-2</c:v>
                </c:pt>
                <c:pt idx="3">
                  <c:v>0.12</c:v>
                </c:pt>
              </c:numCache>
            </c:numRef>
          </c:val>
        </c:ser>
        <c:ser>
          <c:idx val="2"/>
          <c:order val="2"/>
          <c:tx>
            <c:strRef>
              <c:f>'Analysis - JM Plot 2'!$L$16</c:f>
              <c:strCache>
                <c:ptCount val="1"/>
                <c:pt idx="0">
                  <c:v>3Q Box</c:v>
                </c:pt>
              </c:strCache>
            </c:strRef>
          </c:tx>
          <c:spPr>
            <a:solidFill>
              <a:schemeClr val="bg1">
                <a:lumMod val="85000"/>
              </a:schemeClr>
            </a:solidFill>
            <a:ln>
              <a:solidFill>
                <a:schemeClr val="tx1"/>
              </a:solidFill>
            </a:ln>
          </c:spPr>
          <c:invertIfNegative val="0"/>
          <c:errBars>
            <c:errBarType val="plus"/>
            <c:errValType val="cust"/>
            <c:noEndCap val="0"/>
            <c:plus>
              <c:numRef>
                <c:f>'Analysis - JM Plot 2'!$M$18:$P$18</c:f>
                <c:numCache>
                  <c:formatCode>General</c:formatCode>
                  <c:ptCount val="4"/>
                  <c:pt idx="0">
                    <c:v>0.23499999999999999</c:v>
                  </c:pt>
                  <c:pt idx="1">
                    <c:v>0.28999999999999998</c:v>
                  </c:pt>
                  <c:pt idx="2">
                    <c:v>0.85250000000000004</c:v>
                  </c:pt>
                  <c:pt idx="3">
                    <c:v>9.0000000000000094E-2</c:v>
                  </c:pt>
                </c:numCache>
              </c:numRef>
            </c:plus>
            <c:minus>
              <c:numLit>
                <c:formatCode>General</c:formatCode>
                <c:ptCount val="1"/>
                <c:pt idx="0">
                  <c:v>1</c:v>
                </c:pt>
              </c:numLit>
            </c:minus>
          </c:errBars>
          <c:cat>
            <c:strRef>
              <c:f>'Analysis - JM Plot 2'!$M$5:$P$5</c:f>
              <c:strCache>
                <c:ptCount val="4"/>
                <c:pt idx="0">
                  <c:v>PY1- Final</c:v>
                </c:pt>
                <c:pt idx="1">
                  <c:v>PY1-Normalized</c:v>
                </c:pt>
                <c:pt idx="2">
                  <c:v>PY2-Original &amp; Final</c:v>
                </c:pt>
                <c:pt idx="3">
                  <c:v>PY2-Normalized</c:v>
                </c:pt>
              </c:strCache>
            </c:strRef>
          </c:cat>
          <c:val>
            <c:numRef>
              <c:f>'Analysis - JM Plot 2'!$M$16:$P$16</c:f>
              <c:numCache>
                <c:formatCode>0%</c:formatCode>
                <c:ptCount val="4"/>
                <c:pt idx="0">
                  <c:v>0.13500000000000001</c:v>
                </c:pt>
                <c:pt idx="1">
                  <c:v>0.18</c:v>
                </c:pt>
                <c:pt idx="2">
                  <c:v>0.17749999999999999</c:v>
                </c:pt>
                <c:pt idx="3">
                  <c:v>8.99999999999999E-2</c:v>
                </c:pt>
              </c:numCache>
            </c:numRef>
          </c:val>
        </c:ser>
        <c:dLbls>
          <c:showLegendKey val="0"/>
          <c:showVal val="0"/>
          <c:showCatName val="0"/>
          <c:showSerName val="0"/>
          <c:showPercent val="0"/>
          <c:showBubbleSize val="0"/>
        </c:dLbls>
        <c:gapWidth val="150"/>
        <c:overlap val="100"/>
        <c:axId val="196137344"/>
        <c:axId val="196139264"/>
      </c:barChart>
      <c:scatterChart>
        <c:scatterStyle val="lineMarker"/>
        <c:varyColors val="0"/>
        <c:ser>
          <c:idx val="3"/>
          <c:order val="3"/>
          <c:tx>
            <c:strRef>
              <c:f>'Analysis - JM Plot 2'!$L$20</c:f>
              <c:strCache>
                <c:ptCount val="1"/>
                <c:pt idx="0">
                  <c:v>Normalized Offset</c:v>
                </c:pt>
              </c:strCache>
            </c:strRef>
          </c:tx>
          <c:spPr>
            <a:ln w="28575">
              <a:noFill/>
            </a:ln>
          </c:spPr>
          <c:marker>
            <c:symbol val="diamond"/>
            <c:size val="4"/>
            <c:spPr>
              <a:solidFill>
                <a:schemeClr val="tx1"/>
              </a:solidFill>
              <a:ln>
                <a:solidFill>
                  <a:schemeClr val="tx1"/>
                </a:solidFill>
              </a:ln>
            </c:spPr>
          </c:marker>
          <c:xVal>
            <c:numRef>
              <c:f>'Analysis - JM Plot 2'!$M$7:$P$7</c:f>
              <c:numCache>
                <c:formatCode>0%</c:formatCode>
                <c:ptCount val="4"/>
                <c:pt idx="0">
                  <c:v>0.86611111111111105</c:v>
                </c:pt>
                <c:pt idx="1">
                  <c:v>0.82090909090909103</c:v>
                </c:pt>
                <c:pt idx="2">
                  <c:v>1.1054999999999999</c:v>
                </c:pt>
                <c:pt idx="3">
                  <c:v>1.1100000000000001</c:v>
                </c:pt>
              </c:numCache>
            </c:numRef>
          </c:xVal>
          <c:yVal>
            <c:numRef>
              <c:f>'Analysis - JM Plot 2'!$M$20:$P$20</c:f>
              <c:numCache>
                <c:formatCode>General</c:formatCode>
                <c:ptCount val="4"/>
                <c:pt idx="0">
                  <c:v>15</c:v>
                </c:pt>
                <c:pt idx="1">
                  <c:v>45</c:v>
                </c:pt>
                <c:pt idx="2">
                  <c:v>75</c:v>
                </c:pt>
                <c:pt idx="3">
                  <c:v>105</c:v>
                </c:pt>
              </c:numCache>
            </c:numRef>
          </c:yVal>
          <c:smooth val="0"/>
        </c:ser>
        <c:dLbls>
          <c:showLegendKey val="0"/>
          <c:showVal val="0"/>
          <c:showCatName val="0"/>
          <c:showSerName val="0"/>
          <c:showPercent val="0"/>
          <c:showBubbleSize val="0"/>
        </c:dLbls>
        <c:axId val="198858624"/>
        <c:axId val="198857088"/>
      </c:scatterChart>
      <c:catAx>
        <c:axId val="196137344"/>
        <c:scaling>
          <c:orientation val="minMax"/>
        </c:scaling>
        <c:delete val="0"/>
        <c:axPos val="l"/>
        <c:majorTickMark val="out"/>
        <c:minorTickMark val="none"/>
        <c:tickLblPos val="nextTo"/>
        <c:crossAx val="196139264"/>
        <c:crosses val="autoZero"/>
        <c:auto val="1"/>
        <c:lblAlgn val="ctr"/>
        <c:lblOffset val="100"/>
        <c:noMultiLvlLbl val="0"/>
      </c:catAx>
      <c:valAx>
        <c:axId val="196139264"/>
        <c:scaling>
          <c:orientation val="minMax"/>
        </c:scaling>
        <c:delete val="0"/>
        <c:axPos val="b"/>
        <c:majorGridlines/>
        <c:title>
          <c:tx>
            <c:rich>
              <a:bodyPr/>
              <a:lstStyle/>
              <a:p>
                <a:pPr>
                  <a:defRPr/>
                </a:pPr>
                <a:r>
                  <a:rPr lang="en-US"/>
                  <a:t>Realization Rate</a:t>
                </a:r>
              </a:p>
            </c:rich>
          </c:tx>
          <c:overlay val="0"/>
        </c:title>
        <c:numFmt formatCode="0%" sourceLinked="1"/>
        <c:majorTickMark val="out"/>
        <c:minorTickMark val="none"/>
        <c:tickLblPos val="nextTo"/>
        <c:crossAx val="196137344"/>
        <c:crosses val="autoZero"/>
        <c:crossBetween val="between"/>
      </c:valAx>
      <c:valAx>
        <c:axId val="198857088"/>
        <c:scaling>
          <c:orientation val="minMax"/>
        </c:scaling>
        <c:delete val="1"/>
        <c:axPos val="r"/>
        <c:numFmt formatCode="General" sourceLinked="1"/>
        <c:majorTickMark val="out"/>
        <c:minorTickMark val="none"/>
        <c:tickLblPos val="nextTo"/>
        <c:crossAx val="198858624"/>
        <c:crosses val="max"/>
        <c:crossBetween val="midCat"/>
      </c:valAx>
      <c:valAx>
        <c:axId val="198858624"/>
        <c:scaling>
          <c:orientation val="minMax"/>
        </c:scaling>
        <c:delete val="1"/>
        <c:axPos val="b"/>
        <c:numFmt formatCode="0%" sourceLinked="1"/>
        <c:majorTickMark val="out"/>
        <c:minorTickMark val="none"/>
        <c:tickLblPos val="nextTo"/>
        <c:crossAx val="198857088"/>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NTGR</c:v>
                </c:pt>
              </c:strCache>
            </c:strRef>
          </c:tx>
          <c:invertIfNegative val="0"/>
          <c:cat>
            <c:strRef>
              <c:f>Sheet1!$A$2:$A$4</c:f>
              <c:strCache>
                <c:ptCount val="3"/>
                <c:pt idx="0">
                  <c:v>PY1</c:v>
                </c:pt>
                <c:pt idx="1">
                  <c:v>PY2</c:v>
                </c:pt>
                <c:pt idx="2">
                  <c:v>Partial PY3</c:v>
                </c:pt>
              </c:strCache>
            </c:strRef>
          </c:cat>
          <c:val>
            <c:numRef>
              <c:f>Sheet1!$B$2:$B$4</c:f>
              <c:numCache>
                <c:formatCode>General</c:formatCode>
                <c:ptCount val="3"/>
                <c:pt idx="0">
                  <c:v>0.53</c:v>
                </c:pt>
                <c:pt idx="1">
                  <c:v>0.72</c:v>
                </c:pt>
                <c:pt idx="2">
                  <c:v>0.7</c:v>
                </c:pt>
              </c:numCache>
            </c:numRef>
          </c:val>
        </c:ser>
        <c:dLbls>
          <c:showLegendKey val="0"/>
          <c:showVal val="0"/>
          <c:showCatName val="0"/>
          <c:showSerName val="0"/>
          <c:showPercent val="0"/>
          <c:showBubbleSize val="0"/>
        </c:dLbls>
        <c:gapWidth val="150"/>
        <c:axId val="198906624"/>
        <c:axId val="198908160"/>
      </c:barChart>
      <c:catAx>
        <c:axId val="198906624"/>
        <c:scaling>
          <c:orientation val="minMax"/>
        </c:scaling>
        <c:delete val="0"/>
        <c:axPos val="b"/>
        <c:majorTickMark val="out"/>
        <c:minorTickMark val="none"/>
        <c:tickLblPos val="nextTo"/>
        <c:crossAx val="198908160"/>
        <c:crosses val="autoZero"/>
        <c:auto val="1"/>
        <c:lblAlgn val="ctr"/>
        <c:lblOffset val="100"/>
        <c:noMultiLvlLbl val="0"/>
      </c:catAx>
      <c:valAx>
        <c:axId val="198908160"/>
        <c:scaling>
          <c:orientation val="minMax"/>
        </c:scaling>
        <c:delete val="0"/>
        <c:axPos val="l"/>
        <c:majorGridlines/>
        <c:title>
          <c:tx>
            <c:rich>
              <a:bodyPr rot="-5400000" vert="horz"/>
              <a:lstStyle/>
              <a:p>
                <a:pPr>
                  <a:defRPr b="1"/>
                </a:pPr>
                <a:r>
                  <a:rPr lang="en-US" b="1"/>
                  <a:t>Custom</a:t>
                </a:r>
                <a:r>
                  <a:rPr lang="en-US" b="1" baseline="0"/>
                  <a:t> Program NTGRs for PY1, PY2 and Partial PY2</a:t>
                </a:r>
                <a:endParaRPr lang="en-US" b="1"/>
              </a:p>
            </c:rich>
          </c:tx>
          <c:overlay val="0"/>
        </c:title>
        <c:numFmt formatCode="General" sourceLinked="1"/>
        <c:majorTickMark val="out"/>
        <c:minorTickMark val="none"/>
        <c:tickLblPos val="nextTo"/>
        <c:crossAx val="198906624"/>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CEC2B-5CCD-4B23-A3F2-DB9F5A341360}" type="doc">
      <dgm:prSet loTypeId="urn:microsoft.com/office/officeart/2005/8/layout/process4" loCatId="list" qsTypeId="urn:microsoft.com/office/officeart/2005/8/quickstyle/simple1" qsCatId="simple" csTypeId="urn:microsoft.com/office/officeart/2005/8/colors/colorful5" csCatId="colorful" phldr="1"/>
      <dgm:spPr/>
      <dgm:t>
        <a:bodyPr/>
        <a:lstStyle/>
        <a:p>
          <a:endParaRPr lang="en-US"/>
        </a:p>
      </dgm:t>
    </dgm:pt>
    <dgm:pt modelId="{17BFE15D-A8A4-4CB4-933E-492A31B79765}">
      <dgm:prSet phldrT="[Text]" custT="1"/>
      <dgm:spPr/>
      <dgm:t>
        <a:bodyPr/>
        <a:lstStyle/>
        <a:p>
          <a:pPr algn="ctr"/>
          <a:r>
            <a:rPr lang="en-US" sz="1100" b="1">
              <a:latin typeface="Times New Roman" panose="02020603050405020304" pitchFamily="18" charset="0"/>
              <a:cs typeface="Times New Roman" panose="02020603050405020304" pitchFamily="18" charset="0"/>
            </a:rPr>
            <a:t>Top 10 custom projects</a:t>
          </a:r>
        </a:p>
      </dgm:t>
    </dgm:pt>
    <dgm:pt modelId="{457C12D5-61A6-4FC4-97AF-8D948A69BC9E}" type="parTrans" cxnId="{EA25DF56-692E-4CBD-AB93-6462A7AF7630}">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B784D103-D408-4F79-A7A5-A242D8CD3256}" type="sibTrans" cxnId="{EA25DF56-692E-4CBD-AB93-6462A7AF7630}">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BA3EC14D-6F45-4A27-BA0B-E18D5AAFD9EA}">
      <dgm:prSet phldrT="[Text]" custT="1"/>
      <dgm:spPr/>
      <dgm:t>
        <a:bodyPr/>
        <a:lstStyle/>
        <a:p>
          <a:pPr algn="ctr"/>
          <a:r>
            <a:rPr lang="en-US" sz="1100" b="1">
              <a:latin typeface="Times New Roman" panose="02020603050405020304" pitchFamily="18" charset="0"/>
              <a:cs typeface="Times New Roman" panose="02020603050405020304" pitchFamily="18" charset="0"/>
            </a:rPr>
            <a:t>Review at time of application (“Early Review”)</a:t>
          </a:r>
        </a:p>
      </dgm:t>
    </dgm:pt>
    <dgm:pt modelId="{F114D6A4-C9A6-4B1F-A731-1DD0B5851BB3}" type="parTrans" cxnId="{BC2C7757-208B-44D2-9639-454DD0003C3E}">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66C3482C-EAFC-4B14-9D89-E74A340BF38A}" type="sibTrans" cxnId="{BC2C7757-208B-44D2-9639-454DD0003C3E}">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2B481FB3-33F8-4744-8C86-EAD5577A267E}">
      <dgm:prSet phldrT="[Text]" custT="1"/>
      <dgm:spPr/>
      <dgm:t>
        <a:bodyPr/>
        <a:lstStyle/>
        <a:p>
          <a:pPr algn="ctr"/>
          <a:r>
            <a:rPr lang="en-US" sz="1100" b="0">
              <a:latin typeface="Times New Roman" panose="02020603050405020304" pitchFamily="18" charset="0"/>
              <a:cs typeface="Times New Roman" panose="02020603050405020304" pitchFamily="18" charset="0"/>
            </a:rPr>
            <a:t>IC notifies evaluator of need for review and provides project data</a:t>
          </a:r>
        </a:p>
      </dgm:t>
    </dgm:pt>
    <dgm:pt modelId="{79FB31ED-D37F-44E4-8B69-6C9D0B6BF5DD}" type="parTrans" cxnId="{92EEE96A-0FE9-4478-8CE8-817E968A91D0}">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EFFB3EF3-666D-4F63-B4F7-39F307D1B130}" type="sibTrans" cxnId="{92EEE96A-0FE9-4478-8CE8-817E968A91D0}">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0F211A3C-0E06-4305-AAC4-6A5C85F61905}">
      <dgm:prSet phldrT="[Text]" custT="1"/>
      <dgm:spPr/>
      <dgm:t>
        <a:bodyPr/>
        <a:lstStyle/>
        <a:p>
          <a:pPr algn="ctr"/>
          <a:r>
            <a:rPr lang="en-US" sz="1100" b="1">
              <a:latin typeface="Times New Roman" panose="02020603050405020304" pitchFamily="18" charset="0"/>
              <a:cs typeface="Times New Roman" panose="02020603050405020304" pitchFamily="18" charset="0"/>
            </a:rPr>
            <a:t>IC provides proposed baseline and efficient equipment calculation and back-up</a:t>
          </a:r>
        </a:p>
      </dgm:t>
    </dgm:pt>
    <dgm:pt modelId="{935FE8E5-1805-4A88-90C0-6CA2F4A46DEA}" type="parTrans" cxnId="{6C031895-C287-45AD-BAD5-A405FF7FF551}">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FA002547-4DE4-4734-90D6-0D4FD19E9D16}" type="sibTrans" cxnId="{6C031895-C287-45AD-BAD5-A405FF7FF551}">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B3FA7A98-0C8B-4BA3-96B2-439872C0D558}">
      <dgm:prSet phldrT="[Text]" custT="1"/>
      <dgm:spPr/>
      <dgm:t>
        <a:bodyPr/>
        <a:lstStyle/>
        <a:p>
          <a:pPr algn="ctr"/>
          <a:r>
            <a:rPr lang="en-US" sz="1100" b="0">
              <a:latin typeface="Times New Roman" panose="02020603050405020304" pitchFamily="18" charset="0"/>
              <a:cs typeface="Times New Roman" panose="02020603050405020304" pitchFamily="18" charset="0"/>
            </a:rPr>
            <a:t>Evaluator provides IC documented recommendations within two weeks</a:t>
          </a:r>
        </a:p>
      </dgm:t>
    </dgm:pt>
    <dgm:pt modelId="{230FC184-4BF3-4393-992A-9329AC175B06}" type="parTrans" cxnId="{3CF8499A-BB62-4CA1-98FB-FD35F7342FBA}">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69E97A16-D403-4EFF-BDC5-E2174444E591}" type="sibTrans" cxnId="{3CF8499A-BB62-4CA1-98FB-FD35F7342FBA}">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7602F18D-23E8-4CB1-BDA8-6C35E111BAA9}">
      <dgm:prSet phldrT="[Text]" custT="1"/>
      <dgm:spPr/>
      <dgm:t>
        <a:bodyPr/>
        <a:lstStyle/>
        <a:p>
          <a:pPr algn="ctr"/>
          <a:r>
            <a:rPr lang="en-US" sz="1100" b="1">
              <a:latin typeface="Times New Roman" panose="02020603050405020304" pitchFamily="18" charset="0"/>
              <a:cs typeface="Times New Roman" panose="02020603050405020304" pitchFamily="18" charset="0"/>
            </a:rPr>
            <a:t>Monthly team calls and enhanced on-going communication</a:t>
          </a:r>
        </a:p>
      </dgm:t>
    </dgm:pt>
    <dgm:pt modelId="{F6FDCCA8-4E46-464A-AC23-C321E4942D22}" type="parTrans" cxnId="{812D5A46-5C01-4D2E-9064-BF57EF5E6E4D}">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5A200F3B-D64C-4A5D-B675-26E2707FED84}" type="sibTrans" cxnId="{812D5A46-5C01-4D2E-9064-BF57EF5E6E4D}">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656223B2-371E-4CB7-B6CD-9A8136230786}">
      <dgm:prSet phldrT="[Text]" custT="1"/>
      <dgm:spPr/>
      <dgm:t>
        <a:bodyPr/>
        <a:lstStyle/>
        <a:p>
          <a:pPr algn="ctr"/>
          <a:r>
            <a:rPr lang="en-US" sz="1100" b="0">
              <a:latin typeface="Times New Roman" panose="02020603050405020304" pitchFamily="18" charset="0"/>
              <a:cs typeface="Times New Roman" panose="02020603050405020304" pitchFamily="18" charset="0"/>
            </a:rPr>
            <a:t>IC may provide additional data or clarifying information</a:t>
          </a:r>
        </a:p>
      </dgm:t>
    </dgm:pt>
    <dgm:pt modelId="{AB0DF254-A0F7-453B-AE8D-893E7A4A1803}" type="parTrans" cxnId="{CE52A979-55E0-4C40-91F1-D458AFC9C747}">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91C8D90A-026E-4CAC-8001-A9FCFC138CD5}" type="sibTrans" cxnId="{CE52A979-55E0-4C40-91F1-D458AFC9C747}">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BE0157BA-52B1-4280-BE5B-BBA128550DC1}">
      <dgm:prSet phldrT="[Text]" custT="1"/>
      <dgm:spPr/>
      <dgm:t>
        <a:bodyPr/>
        <a:lstStyle/>
        <a:p>
          <a:pPr algn="ctr"/>
          <a:r>
            <a:rPr lang="en-US" sz="1100" b="1">
              <a:latin typeface="Times New Roman" panose="02020603050405020304" pitchFamily="18" charset="0"/>
              <a:cs typeface="Times New Roman" panose="02020603050405020304" pitchFamily="18" charset="0"/>
            </a:rPr>
            <a:t>Final verification conducted upon project completion as usual</a:t>
          </a:r>
        </a:p>
      </dgm:t>
    </dgm:pt>
    <dgm:pt modelId="{E4DE94C9-50CD-40AF-9660-A5495F05865F}" type="parTrans" cxnId="{38DCD7DE-AEAC-4CF2-9334-541E17DA7FBB}">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26AD1ECD-E708-476F-B9A6-FCDFDE0EF800}" type="sibTrans" cxnId="{38DCD7DE-AEAC-4CF2-9334-541E17DA7FBB}">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E3BCC08D-BD9C-420C-B011-FB0599E17C42}">
      <dgm:prSet phldrT="[Text]" custT="1"/>
      <dgm:spPr/>
      <dgm:t>
        <a:bodyPr/>
        <a:lstStyle/>
        <a:p>
          <a:pPr algn="ctr"/>
          <a:r>
            <a:rPr lang="en-US" sz="1100" b="0">
              <a:latin typeface="Times New Roman" panose="02020603050405020304" pitchFamily="18" charset="0"/>
              <a:cs typeface="Times New Roman" panose="02020603050405020304" pitchFamily="18" charset="0"/>
            </a:rPr>
            <a:t>Evaluator reviews final project documents and provides IC with final results</a:t>
          </a:r>
        </a:p>
      </dgm:t>
    </dgm:pt>
    <dgm:pt modelId="{C6E21629-3E6D-467B-909D-DF4E229B6FE9}" type="parTrans" cxnId="{5CDDD836-913E-457E-AABD-6A4E3CD71C38}">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47696747-8E27-408A-81AE-228794082AC5}" type="sibTrans" cxnId="{5CDDD836-913E-457E-AABD-6A4E3CD71C38}">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234F0A3A-EDA2-4D36-9B5A-629B70F10BDA}">
      <dgm:prSet phldrT="[Text]" custT="1"/>
      <dgm:spPr/>
      <dgm:t>
        <a:bodyPr/>
        <a:lstStyle/>
        <a:p>
          <a:pPr algn="ctr"/>
          <a:r>
            <a:rPr lang="en-US" sz="1100" b="1">
              <a:latin typeface="Times New Roman" panose="02020603050405020304" pitchFamily="18" charset="0"/>
              <a:cs typeface="Times New Roman" panose="02020603050405020304" pitchFamily="18" charset="0"/>
            </a:rPr>
            <a:t>Evaluator provides recommended baseline approach to utility/IC within two weeks </a:t>
          </a:r>
        </a:p>
      </dgm:t>
    </dgm:pt>
    <dgm:pt modelId="{5D1B7FD5-12AA-4586-AA37-F18B87153DDD}" type="parTrans" cxnId="{4DBE362C-F00C-42E4-A264-7894D48B0BFE}">
      <dgm:prSet/>
      <dgm:spPr/>
      <dgm:t>
        <a:bodyPr/>
        <a:lstStyle/>
        <a:p>
          <a:endParaRPr lang="en-US" sz="1100" b="0">
            <a:latin typeface="Times New Roman" panose="02020603050405020304" pitchFamily="18" charset="0"/>
            <a:cs typeface="Times New Roman" panose="02020603050405020304" pitchFamily="18" charset="0"/>
          </a:endParaRPr>
        </a:p>
      </dgm:t>
    </dgm:pt>
    <dgm:pt modelId="{E7FDD095-AD15-42F2-AAB5-3E04F14D36D4}" type="sibTrans" cxnId="{4DBE362C-F00C-42E4-A264-7894D48B0BFE}">
      <dgm:prSet/>
      <dgm:spPr/>
      <dgm:t>
        <a:bodyPr/>
        <a:lstStyle/>
        <a:p>
          <a:endParaRPr lang="en-US" sz="1100" b="0">
            <a:latin typeface="Times New Roman" panose="02020603050405020304" pitchFamily="18" charset="0"/>
            <a:cs typeface="Times New Roman" panose="02020603050405020304" pitchFamily="18" charset="0"/>
          </a:endParaRPr>
        </a:p>
      </dgm:t>
    </dgm:pt>
    <dgm:pt modelId="{0883A8C8-AF39-4866-A530-BAE4621C8753}">
      <dgm:prSet phldrT="[Text]" custT="1"/>
      <dgm:spPr/>
      <dgm:t>
        <a:bodyPr/>
        <a:lstStyle/>
        <a:p>
          <a:pPr algn="ctr"/>
          <a:r>
            <a:rPr lang="en-US" sz="1100" b="0">
              <a:latin typeface="Times New Roman" panose="02020603050405020304" pitchFamily="18" charset="0"/>
              <a:cs typeface="Times New Roman" panose="02020603050405020304" pitchFamily="18" charset="0"/>
            </a:rPr>
            <a:t>Evaluator provides quick feedback to avoid slowing down project approval</a:t>
          </a:r>
        </a:p>
      </dgm:t>
    </dgm:pt>
    <dgm:pt modelId="{3F08E327-9355-4A6E-9657-47FCD953CBCA}" type="parTrans" cxnId="{AB1EF8A9-617E-4C71-A5C3-1C9AB658DC6D}">
      <dgm:prSet/>
      <dgm:spPr/>
      <dgm:t>
        <a:bodyPr/>
        <a:lstStyle/>
        <a:p>
          <a:endParaRPr lang="en-US" sz="1100" b="0">
            <a:latin typeface="Times New Roman" panose="02020603050405020304" pitchFamily="18" charset="0"/>
            <a:cs typeface="Times New Roman" panose="02020603050405020304" pitchFamily="18" charset="0"/>
          </a:endParaRPr>
        </a:p>
      </dgm:t>
    </dgm:pt>
    <dgm:pt modelId="{6F3C78A4-8744-4D47-856F-AC8F76516B04}" type="sibTrans" cxnId="{AB1EF8A9-617E-4C71-A5C3-1C9AB658DC6D}">
      <dgm:prSet/>
      <dgm:spPr/>
      <dgm:t>
        <a:bodyPr/>
        <a:lstStyle/>
        <a:p>
          <a:endParaRPr lang="en-US" sz="1100" b="0">
            <a:latin typeface="Times New Roman" panose="02020603050405020304" pitchFamily="18" charset="0"/>
            <a:cs typeface="Times New Roman" panose="02020603050405020304" pitchFamily="18" charset="0"/>
          </a:endParaRPr>
        </a:p>
      </dgm:t>
    </dgm:pt>
    <dgm:pt modelId="{996542B2-3F1C-4E9B-AE6F-18601ECA9D28}">
      <dgm:prSet phldrT="[Text]" custT="1"/>
      <dgm:spPr/>
      <dgm:t>
        <a:bodyPr/>
        <a:lstStyle/>
        <a:p>
          <a:pPr algn="ctr"/>
          <a:r>
            <a:rPr lang="en-US" sz="1100" b="0">
              <a:latin typeface="Times New Roman" panose="02020603050405020304" pitchFamily="18" charset="0"/>
              <a:cs typeface="Times New Roman" panose="02020603050405020304" pitchFamily="18" charset="0"/>
            </a:rPr>
            <a:t>Top large or complex projects</a:t>
          </a:r>
        </a:p>
      </dgm:t>
    </dgm:pt>
    <dgm:pt modelId="{BF6B2A6F-8F37-4C4C-B923-CEE9ACA96200}" type="sibTrans" cxnId="{21195366-7DAA-4C22-B43F-6E4522B9A7F7}">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4B57083A-30AD-4255-B3CD-1EF937F46234}" type="parTrans" cxnId="{21195366-7DAA-4C22-B43F-6E4522B9A7F7}">
      <dgm:prSet/>
      <dgm:spPr/>
      <dgm:t>
        <a:bodyPr/>
        <a:lstStyle/>
        <a:p>
          <a:pPr algn="ct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DE1E6DB9-5AFA-4758-B2FE-CFB9224BEC30}" type="pres">
      <dgm:prSet presAssocID="{AD3CEC2B-5CCD-4B23-A3F2-DB9F5A341360}" presName="Name0" presStyleCnt="0">
        <dgm:presLayoutVars>
          <dgm:dir/>
          <dgm:animLvl val="lvl"/>
          <dgm:resizeHandles val="exact"/>
        </dgm:presLayoutVars>
      </dgm:prSet>
      <dgm:spPr/>
      <dgm:t>
        <a:bodyPr/>
        <a:lstStyle/>
        <a:p>
          <a:endParaRPr lang="en-US"/>
        </a:p>
      </dgm:t>
    </dgm:pt>
    <dgm:pt modelId="{209C66CB-1F55-421C-8CD9-C95598C8A5A5}" type="pres">
      <dgm:prSet presAssocID="{BE0157BA-52B1-4280-BE5B-BBA128550DC1}" presName="boxAndChildren" presStyleCnt="0"/>
      <dgm:spPr/>
      <dgm:t>
        <a:bodyPr/>
        <a:lstStyle/>
        <a:p>
          <a:endParaRPr lang="en-US"/>
        </a:p>
      </dgm:t>
    </dgm:pt>
    <dgm:pt modelId="{A5005502-3BB1-40C1-B4AE-2BDB773880FA}" type="pres">
      <dgm:prSet presAssocID="{BE0157BA-52B1-4280-BE5B-BBA128550DC1}" presName="parentTextBox" presStyleLbl="node1" presStyleIdx="0" presStyleCnt="6"/>
      <dgm:spPr/>
      <dgm:t>
        <a:bodyPr/>
        <a:lstStyle/>
        <a:p>
          <a:endParaRPr lang="en-US"/>
        </a:p>
      </dgm:t>
    </dgm:pt>
    <dgm:pt modelId="{F877480F-56B5-4B78-9700-4F28F4A695FC}" type="pres">
      <dgm:prSet presAssocID="{BE0157BA-52B1-4280-BE5B-BBA128550DC1}" presName="entireBox" presStyleLbl="node1" presStyleIdx="0" presStyleCnt="6"/>
      <dgm:spPr/>
      <dgm:t>
        <a:bodyPr/>
        <a:lstStyle/>
        <a:p>
          <a:endParaRPr lang="en-US"/>
        </a:p>
      </dgm:t>
    </dgm:pt>
    <dgm:pt modelId="{BE3E1AB4-BF32-415A-8FF9-53AD27973AAB}" type="pres">
      <dgm:prSet presAssocID="{BE0157BA-52B1-4280-BE5B-BBA128550DC1}" presName="descendantBox" presStyleCnt="0"/>
      <dgm:spPr/>
      <dgm:t>
        <a:bodyPr/>
        <a:lstStyle/>
        <a:p>
          <a:endParaRPr lang="en-US"/>
        </a:p>
      </dgm:t>
    </dgm:pt>
    <dgm:pt modelId="{19CFD45F-27AE-4A0E-8BEE-D7AD700DACA5}" type="pres">
      <dgm:prSet presAssocID="{E3BCC08D-BD9C-420C-B011-FB0599E17C42}" presName="childTextBox" presStyleLbl="fgAccFollowNode1" presStyleIdx="0" presStyleCnt="6">
        <dgm:presLayoutVars>
          <dgm:bulletEnabled val="1"/>
        </dgm:presLayoutVars>
      </dgm:prSet>
      <dgm:spPr/>
      <dgm:t>
        <a:bodyPr/>
        <a:lstStyle/>
        <a:p>
          <a:endParaRPr lang="en-US"/>
        </a:p>
      </dgm:t>
    </dgm:pt>
    <dgm:pt modelId="{89DE8CBD-1D8A-489D-ABD1-C51D6B7FCB67}" type="pres">
      <dgm:prSet presAssocID="{E7FDD095-AD15-42F2-AAB5-3E04F14D36D4}" presName="sp" presStyleCnt="0"/>
      <dgm:spPr/>
      <dgm:t>
        <a:bodyPr/>
        <a:lstStyle/>
        <a:p>
          <a:endParaRPr lang="en-US"/>
        </a:p>
      </dgm:t>
    </dgm:pt>
    <dgm:pt modelId="{184B6C57-C9A9-4E5F-A091-137AF5AB016E}" type="pres">
      <dgm:prSet presAssocID="{234F0A3A-EDA2-4D36-9B5A-629B70F10BDA}" presName="arrowAndChildren" presStyleCnt="0"/>
      <dgm:spPr/>
      <dgm:t>
        <a:bodyPr/>
        <a:lstStyle/>
        <a:p>
          <a:endParaRPr lang="en-US"/>
        </a:p>
      </dgm:t>
    </dgm:pt>
    <dgm:pt modelId="{3B07CD29-D3C9-4F4B-87AA-7B444C028FF9}" type="pres">
      <dgm:prSet presAssocID="{234F0A3A-EDA2-4D36-9B5A-629B70F10BDA}" presName="parentTextArrow" presStyleLbl="node1" presStyleIdx="0" presStyleCnt="6"/>
      <dgm:spPr/>
      <dgm:t>
        <a:bodyPr/>
        <a:lstStyle/>
        <a:p>
          <a:endParaRPr lang="en-US"/>
        </a:p>
      </dgm:t>
    </dgm:pt>
    <dgm:pt modelId="{7EB666C9-DF61-4C02-AF09-81C5580DCD49}" type="pres">
      <dgm:prSet presAssocID="{234F0A3A-EDA2-4D36-9B5A-629B70F10BDA}" presName="arrow" presStyleLbl="node1" presStyleIdx="1" presStyleCnt="6"/>
      <dgm:spPr/>
      <dgm:t>
        <a:bodyPr/>
        <a:lstStyle/>
        <a:p>
          <a:endParaRPr lang="en-US"/>
        </a:p>
      </dgm:t>
    </dgm:pt>
    <dgm:pt modelId="{03DE179E-C05F-4817-86FF-21D59BFA277E}" type="pres">
      <dgm:prSet presAssocID="{234F0A3A-EDA2-4D36-9B5A-629B70F10BDA}" presName="descendantArrow" presStyleCnt="0"/>
      <dgm:spPr/>
      <dgm:t>
        <a:bodyPr/>
        <a:lstStyle/>
        <a:p>
          <a:endParaRPr lang="en-US"/>
        </a:p>
      </dgm:t>
    </dgm:pt>
    <dgm:pt modelId="{BA0B2F9B-9CFF-4E12-8BBE-5772389D7FD6}" type="pres">
      <dgm:prSet presAssocID="{0883A8C8-AF39-4866-A530-BAE4621C8753}" presName="childTextArrow" presStyleLbl="fgAccFollowNode1" presStyleIdx="1" presStyleCnt="6" custLinFactNeighborY="-5624">
        <dgm:presLayoutVars>
          <dgm:bulletEnabled val="1"/>
        </dgm:presLayoutVars>
      </dgm:prSet>
      <dgm:spPr/>
      <dgm:t>
        <a:bodyPr/>
        <a:lstStyle/>
        <a:p>
          <a:endParaRPr lang="en-US"/>
        </a:p>
      </dgm:t>
    </dgm:pt>
    <dgm:pt modelId="{31D43D78-DE90-4AA8-B851-720680DA750A}" type="pres">
      <dgm:prSet presAssocID="{5A200F3B-D64C-4A5D-B675-26E2707FED84}" presName="sp" presStyleCnt="0"/>
      <dgm:spPr/>
      <dgm:t>
        <a:bodyPr/>
        <a:lstStyle/>
        <a:p>
          <a:endParaRPr lang="en-US"/>
        </a:p>
      </dgm:t>
    </dgm:pt>
    <dgm:pt modelId="{6193280F-8C0B-4BCE-BCF5-BB0C772F8F46}" type="pres">
      <dgm:prSet presAssocID="{7602F18D-23E8-4CB1-BDA8-6C35E111BAA9}" presName="arrowAndChildren" presStyleCnt="0"/>
      <dgm:spPr/>
      <dgm:t>
        <a:bodyPr/>
        <a:lstStyle/>
        <a:p>
          <a:endParaRPr lang="en-US"/>
        </a:p>
      </dgm:t>
    </dgm:pt>
    <dgm:pt modelId="{34B0D9CC-3E19-42FE-977A-E0A51EBA6CE6}" type="pres">
      <dgm:prSet presAssocID="{7602F18D-23E8-4CB1-BDA8-6C35E111BAA9}" presName="parentTextArrow" presStyleLbl="node1" presStyleIdx="1" presStyleCnt="6"/>
      <dgm:spPr/>
      <dgm:t>
        <a:bodyPr/>
        <a:lstStyle/>
        <a:p>
          <a:endParaRPr lang="en-US"/>
        </a:p>
      </dgm:t>
    </dgm:pt>
    <dgm:pt modelId="{2D7D74EA-6DFB-4832-9ED9-B33413045500}" type="pres">
      <dgm:prSet presAssocID="{7602F18D-23E8-4CB1-BDA8-6C35E111BAA9}" presName="arrow" presStyleLbl="node1" presStyleIdx="2" presStyleCnt="6" custLinFactNeighborY="1682"/>
      <dgm:spPr/>
      <dgm:t>
        <a:bodyPr/>
        <a:lstStyle/>
        <a:p>
          <a:endParaRPr lang="en-US"/>
        </a:p>
      </dgm:t>
    </dgm:pt>
    <dgm:pt modelId="{3F14BF5B-A013-4E20-913B-427591AE6A2D}" type="pres">
      <dgm:prSet presAssocID="{7602F18D-23E8-4CB1-BDA8-6C35E111BAA9}" presName="descendantArrow" presStyleCnt="0"/>
      <dgm:spPr/>
      <dgm:t>
        <a:bodyPr/>
        <a:lstStyle/>
        <a:p>
          <a:endParaRPr lang="en-US"/>
        </a:p>
      </dgm:t>
    </dgm:pt>
    <dgm:pt modelId="{2467A8F8-A74E-4C9A-BC4B-ADF741E9DB1F}" type="pres">
      <dgm:prSet presAssocID="{656223B2-371E-4CB7-B6CD-9A8136230786}" presName="childTextArrow" presStyleLbl="fgAccFollowNode1" presStyleIdx="2" presStyleCnt="6">
        <dgm:presLayoutVars>
          <dgm:bulletEnabled val="1"/>
        </dgm:presLayoutVars>
      </dgm:prSet>
      <dgm:spPr/>
      <dgm:t>
        <a:bodyPr/>
        <a:lstStyle/>
        <a:p>
          <a:endParaRPr lang="en-US"/>
        </a:p>
      </dgm:t>
    </dgm:pt>
    <dgm:pt modelId="{6C3329F8-9B60-4EDF-BEDC-C16147DDBC9D}" type="pres">
      <dgm:prSet presAssocID="{FA002547-4DE4-4734-90D6-0D4FD19E9D16}" presName="sp" presStyleCnt="0"/>
      <dgm:spPr/>
      <dgm:t>
        <a:bodyPr/>
        <a:lstStyle/>
        <a:p>
          <a:endParaRPr lang="en-US"/>
        </a:p>
      </dgm:t>
    </dgm:pt>
    <dgm:pt modelId="{1848EB2D-0453-440B-B0A7-E290407010B3}" type="pres">
      <dgm:prSet presAssocID="{0F211A3C-0E06-4305-AAC4-6A5C85F61905}" presName="arrowAndChildren" presStyleCnt="0"/>
      <dgm:spPr/>
      <dgm:t>
        <a:bodyPr/>
        <a:lstStyle/>
        <a:p>
          <a:endParaRPr lang="en-US"/>
        </a:p>
      </dgm:t>
    </dgm:pt>
    <dgm:pt modelId="{9C00E698-1885-4411-99CA-C70591428247}" type="pres">
      <dgm:prSet presAssocID="{0F211A3C-0E06-4305-AAC4-6A5C85F61905}" presName="parentTextArrow" presStyleLbl="node1" presStyleIdx="2" presStyleCnt="6"/>
      <dgm:spPr/>
      <dgm:t>
        <a:bodyPr/>
        <a:lstStyle/>
        <a:p>
          <a:endParaRPr lang="en-US"/>
        </a:p>
      </dgm:t>
    </dgm:pt>
    <dgm:pt modelId="{6D2E0DC3-6E76-418D-8063-2F527C5F589E}" type="pres">
      <dgm:prSet presAssocID="{0F211A3C-0E06-4305-AAC4-6A5C85F61905}" presName="arrow" presStyleLbl="node1" presStyleIdx="3" presStyleCnt="6"/>
      <dgm:spPr/>
      <dgm:t>
        <a:bodyPr/>
        <a:lstStyle/>
        <a:p>
          <a:endParaRPr lang="en-US"/>
        </a:p>
      </dgm:t>
    </dgm:pt>
    <dgm:pt modelId="{740C3C6C-C112-4C01-B5F0-1C1573E979CA}" type="pres">
      <dgm:prSet presAssocID="{0F211A3C-0E06-4305-AAC4-6A5C85F61905}" presName="descendantArrow" presStyleCnt="0"/>
      <dgm:spPr/>
      <dgm:t>
        <a:bodyPr/>
        <a:lstStyle/>
        <a:p>
          <a:endParaRPr lang="en-US"/>
        </a:p>
      </dgm:t>
    </dgm:pt>
    <dgm:pt modelId="{9273367E-D39B-4DB5-A624-0F3112A0CC29}" type="pres">
      <dgm:prSet presAssocID="{B3FA7A98-0C8B-4BA3-96B2-439872C0D558}" presName="childTextArrow" presStyleLbl="fgAccFollowNode1" presStyleIdx="3" presStyleCnt="6">
        <dgm:presLayoutVars>
          <dgm:bulletEnabled val="1"/>
        </dgm:presLayoutVars>
      </dgm:prSet>
      <dgm:spPr/>
      <dgm:t>
        <a:bodyPr/>
        <a:lstStyle/>
        <a:p>
          <a:endParaRPr lang="en-US"/>
        </a:p>
      </dgm:t>
    </dgm:pt>
    <dgm:pt modelId="{EFCB29A7-8F58-45F0-B667-DE78575434F5}" type="pres">
      <dgm:prSet presAssocID="{66C3482C-EAFC-4B14-9D89-E74A340BF38A}" presName="sp" presStyleCnt="0"/>
      <dgm:spPr/>
      <dgm:t>
        <a:bodyPr/>
        <a:lstStyle/>
        <a:p>
          <a:endParaRPr lang="en-US"/>
        </a:p>
      </dgm:t>
    </dgm:pt>
    <dgm:pt modelId="{ABD08A6E-9275-453A-BDED-CC59092D7C39}" type="pres">
      <dgm:prSet presAssocID="{BA3EC14D-6F45-4A27-BA0B-E18D5AAFD9EA}" presName="arrowAndChildren" presStyleCnt="0"/>
      <dgm:spPr/>
      <dgm:t>
        <a:bodyPr/>
        <a:lstStyle/>
        <a:p>
          <a:endParaRPr lang="en-US"/>
        </a:p>
      </dgm:t>
    </dgm:pt>
    <dgm:pt modelId="{CD63CE7D-E054-402F-8FA6-0752F1BF33B8}" type="pres">
      <dgm:prSet presAssocID="{BA3EC14D-6F45-4A27-BA0B-E18D5AAFD9EA}" presName="parentTextArrow" presStyleLbl="node1" presStyleIdx="3" presStyleCnt="6"/>
      <dgm:spPr/>
      <dgm:t>
        <a:bodyPr/>
        <a:lstStyle/>
        <a:p>
          <a:endParaRPr lang="en-US"/>
        </a:p>
      </dgm:t>
    </dgm:pt>
    <dgm:pt modelId="{F153CF14-086A-44E3-A1E0-BB91CBA9B709}" type="pres">
      <dgm:prSet presAssocID="{BA3EC14D-6F45-4A27-BA0B-E18D5AAFD9EA}" presName="arrow" presStyleLbl="node1" presStyleIdx="4" presStyleCnt="6"/>
      <dgm:spPr/>
      <dgm:t>
        <a:bodyPr/>
        <a:lstStyle/>
        <a:p>
          <a:endParaRPr lang="en-US"/>
        </a:p>
      </dgm:t>
    </dgm:pt>
    <dgm:pt modelId="{619723A1-510F-4166-A2C1-0E4204DB1934}" type="pres">
      <dgm:prSet presAssocID="{BA3EC14D-6F45-4A27-BA0B-E18D5AAFD9EA}" presName="descendantArrow" presStyleCnt="0"/>
      <dgm:spPr/>
      <dgm:t>
        <a:bodyPr/>
        <a:lstStyle/>
        <a:p>
          <a:endParaRPr lang="en-US"/>
        </a:p>
      </dgm:t>
    </dgm:pt>
    <dgm:pt modelId="{E2D9C795-278C-4A8C-9D4C-D02F13240A35}" type="pres">
      <dgm:prSet presAssocID="{2B481FB3-33F8-4744-8C86-EAD5577A267E}" presName="childTextArrow" presStyleLbl="fgAccFollowNode1" presStyleIdx="4" presStyleCnt="6">
        <dgm:presLayoutVars>
          <dgm:bulletEnabled val="1"/>
        </dgm:presLayoutVars>
      </dgm:prSet>
      <dgm:spPr/>
      <dgm:t>
        <a:bodyPr/>
        <a:lstStyle/>
        <a:p>
          <a:endParaRPr lang="en-US"/>
        </a:p>
      </dgm:t>
    </dgm:pt>
    <dgm:pt modelId="{4C9D45B6-2BBA-40CB-8C86-225F869973DA}" type="pres">
      <dgm:prSet presAssocID="{B784D103-D408-4F79-A7A5-A242D8CD3256}" presName="sp" presStyleCnt="0"/>
      <dgm:spPr/>
      <dgm:t>
        <a:bodyPr/>
        <a:lstStyle/>
        <a:p>
          <a:endParaRPr lang="en-US"/>
        </a:p>
      </dgm:t>
    </dgm:pt>
    <dgm:pt modelId="{A9C72A91-9593-4376-9AF7-3405E62B4E0E}" type="pres">
      <dgm:prSet presAssocID="{17BFE15D-A8A4-4CB4-933E-492A31B79765}" presName="arrowAndChildren" presStyleCnt="0"/>
      <dgm:spPr/>
      <dgm:t>
        <a:bodyPr/>
        <a:lstStyle/>
        <a:p>
          <a:endParaRPr lang="en-US"/>
        </a:p>
      </dgm:t>
    </dgm:pt>
    <dgm:pt modelId="{420120B8-4DB1-42C0-8F2C-3AE8D601FFEC}" type="pres">
      <dgm:prSet presAssocID="{17BFE15D-A8A4-4CB4-933E-492A31B79765}" presName="parentTextArrow" presStyleLbl="node1" presStyleIdx="4" presStyleCnt="6"/>
      <dgm:spPr/>
      <dgm:t>
        <a:bodyPr/>
        <a:lstStyle/>
        <a:p>
          <a:endParaRPr lang="en-US"/>
        </a:p>
      </dgm:t>
    </dgm:pt>
    <dgm:pt modelId="{CA14706B-0BBC-4634-8E7A-CEBAC0964C11}" type="pres">
      <dgm:prSet presAssocID="{17BFE15D-A8A4-4CB4-933E-492A31B79765}" presName="arrow" presStyleLbl="node1" presStyleIdx="5" presStyleCnt="6" custLinFactNeighborY="-20"/>
      <dgm:spPr/>
      <dgm:t>
        <a:bodyPr/>
        <a:lstStyle/>
        <a:p>
          <a:endParaRPr lang="en-US"/>
        </a:p>
      </dgm:t>
    </dgm:pt>
    <dgm:pt modelId="{7185BE25-92CC-4F07-A960-C13A1780B837}" type="pres">
      <dgm:prSet presAssocID="{17BFE15D-A8A4-4CB4-933E-492A31B79765}" presName="descendantArrow" presStyleCnt="0"/>
      <dgm:spPr/>
      <dgm:t>
        <a:bodyPr/>
        <a:lstStyle/>
        <a:p>
          <a:endParaRPr lang="en-US"/>
        </a:p>
      </dgm:t>
    </dgm:pt>
    <dgm:pt modelId="{A2A90257-D6B2-45DB-99E3-33130C5D16F2}" type="pres">
      <dgm:prSet presAssocID="{996542B2-3F1C-4E9B-AE6F-18601ECA9D28}" presName="childTextArrow" presStyleLbl="fgAccFollowNode1" presStyleIdx="5" presStyleCnt="6">
        <dgm:presLayoutVars>
          <dgm:bulletEnabled val="1"/>
        </dgm:presLayoutVars>
      </dgm:prSet>
      <dgm:spPr/>
      <dgm:t>
        <a:bodyPr/>
        <a:lstStyle/>
        <a:p>
          <a:endParaRPr lang="en-US"/>
        </a:p>
      </dgm:t>
    </dgm:pt>
  </dgm:ptLst>
  <dgm:cxnLst>
    <dgm:cxn modelId="{CE52A979-55E0-4C40-91F1-D458AFC9C747}" srcId="{7602F18D-23E8-4CB1-BDA8-6C35E111BAA9}" destId="{656223B2-371E-4CB7-B6CD-9A8136230786}" srcOrd="0" destOrd="0" parTransId="{AB0DF254-A0F7-453B-AE8D-893E7A4A1803}" sibTransId="{91C8D90A-026E-4CAC-8001-A9FCFC138CD5}"/>
    <dgm:cxn modelId="{0662D23C-0B6E-4864-8152-0F7472E42536}" type="presOf" srcId="{996542B2-3F1C-4E9B-AE6F-18601ECA9D28}" destId="{A2A90257-D6B2-45DB-99E3-33130C5D16F2}" srcOrd="0" destOrd="0" presId="urn:microsoft.com/office/officeart/2005/8/layout/process4"/>
    <dgm:cxn modelId="{5C29C7F1-E677-41ED-95BB-523C3B8298AA}" type="presOf" srcId="{2B481FB3-33F8-4744-8C86-EAD5577A267E}" destId="{E2D9C795-278C-4A8C-9D4C-D02F13240A35}" srcOrd="0" destOrd="0" presId="urn:microsoft.com/office/officeart/2005/8/layout/process4"/>
    <dgm:cxn modelId="{594292E7-22AE-4666-B177-C0384C52FB06}" type="presOf" srcId="{E3BCC08D-BD9C-420C-B011-FB0599E17C42}" destId="{19CFD45F-27AE-4A0E-8BEE-D7AD700DACA5}" srcOrd="0" destOrd="0" presId="urn:microsoft.com/office/officeart/2005/8/layout/process4"/>
    <dgm:cxn modelId="{92EEE96A-0FE9-4478-8CE8-817E968A91D0}" srcId="{BA3EC14D-6F45-4A27-BA0B-E18D5AAFD9EA}" destId="{2B481FB3-33F8-4744-8C86-EAD5577A267E}" srcOrd="0" destOrd="0" parTransId="{79FB31ED-D37F-44E4-8B69-6C9D0B6BF5DD}" sibTransId="{EFFB3EF3-666D-4F63-B4F7-39F307D1B130}"/>
    <dgm:cxn modelId="{3BEFA999-F793-429F-A7C1-5A0DEB1DAA7A}" type="presOf" srcId="{656223B2-371E-4CB7-B6CD-9A8136230786}" destId="{2467A8F8-A74E-4C9A-BC4B-ADF741E9DB1F}" srcOrd="0" destOrd="0" presId="urn:microsoft.com/office/officeart/2005/8/layout/process4"/>
    <dgm:cxn modelId="{BC2C7757-208B-44D2-9639-454DD0003C3E}" srcId="{AD3CEC2B-5CCD-4B23-A3F2-DB9F5A341360}" destId="{BA3EC14D-6F45-4A27-BA0B-E18D5AAFD9EA}" srcOrd="1" destOrd="0" parTransId="{F114D6A4-C9A6-4B1F-A731-1DD0B5851BB3}" sibTransId="{66C3482C-EAFC-4B14-9D89-E74A340BF38A}"/>
    <dgm:cxn modelId="{21195366-7DAA-4C22-B43F-6E4522B9A7F7}" srcId="{17BFE15D-A8A4-4CB4-933E-492A31B79765}" destId="{996542B2-3F1C-4E9B-AE6F-18601ECA9D28}" srcOrd="0" destOrd="0" parTransId="{4B57083A-30AD-4255-B3CD-1EF937F46234}" sibTransId="{BF6B2A6F-8F37-4C4C-B923-CEE9ACA96200}"/>
    <dgm:cxn modelId="{00017199-E9C6-4539-BFA3-EB5E99835725}" type="presOf" srcId="{BE0157BA-52B1-4280-BE5B-BBA128550DC1}" destId="{F877480F-56B5-4B78-9700-4F28F4A695FC}" srcOrd="1" destOrd="0" presId="urn:microsoft.com/office/officeart/2005/8/layout/process4"/>
    <dgm:cxn modelId="{3CF8499A-BB62-4CA1-98FB-FD35F7342FBA}" srcId="{0F211A3C-0E06-4305-AAC4-6A5C85F61905}" destId="{B3FA7A98-0C8B-4BA3-96B2-439872C0D558}" srcOrd="0" destOrd="0" parTransId="{230FC184-4BF3-4393-992A-9329AC175B06}" sibTransId="{69E97A16-D403-4EFF-BDC5-E2174444E591}"/>
    <dgm:cxn modelId="{32DCC536-7117-4427-B885-8465FE05E73C}" type="presOf" srcId="{17BFE15D-A8A4-4CB4-933E-492A31B79765}" destId="{420120B8-4DB1-42C0-8F2C-3AE8D601FFEC}" srcOrd="0" destOrd="0" presId="urn:microsoft.com/office/officeart/2005/8/layout/process4"/>
    <dgm:cxn modelId="{E85EA4C9-8552-421E-AA6A-41386CB5068C}" type="presOf" srcId="{234F0A3A-EDA2-4D36-9B5A-629B70F10BDA}" destId="{3B07CD29-D3C9-4F4B-87AA-7B444C028FF9}" srcOrd="0" destOrd="0" presId="urn:microsoft.com/office/officeart/2005/8/layout/process4"/>
    <dgm:cxn modelId="{38DCD7DE-AEAC-4CF2-9334-541E17DA7FBB}" srcId="{AD3CEC2B-5CCD-4B23-A3F2-DB9F5A341360}" destId="{BE0157BA-52B1-4280-BE5B-BBA128550DC1}" srcOrd="5" destOrd="0" parTransId="{E4DE94C9-50CD-40AF-9660-A5495F05865F}" sibTransId="{26AD1ECD-E708-476F-B9A6-FCDFDE0EF800}"/>
    <dgm:cxn modelId="{E1B2B2A3-3B8A-40AD-889A-F819EBA6225D}" type="presOf" srcId="{7602F18D-23E8-4CB1-BDA8-6C35E111BAA9}" destId="{34B0D9CC-3E19-42FE-977A-E0A51EBA6CE6}" srcOrd="0" destOrd="0" presId="urn:microsoft.com/office/officeart/2005/8/layout/process4"/>
    <dgm:cxn modelId="{81C0D7B8-561D-4B9D-A0C9-39A5C9860674}" type="presOf" srcId="{BA3EC14D-6F45-4A27-BA0B-E18D5AAFD9EA}" destId="{CD63CE7D-E054-402F-8FA6-0752F1BF33B8}" srcOrd="0" destOrd="0" presId="urn:microsoft.com/office/officeart/2005/8/layout/process4"/>
    <dgm:cxn modelId="{5CDDD836-913E-457E-AABD-6A4E3CD71C38}" srcId="{BE0157BA-52B1-4280-BE5B-BBA128550DC1}" destId="{E3BCC08D-BD9C-420C-B011-FB0599E17C42}" srcOrd="0" destOrd="0" parTransId="{C6E21629-3E6D-467B-909D-DF4E229B6FE9}" sibTransId="{47696747-8E27-408A-81AE-228794082AC5}"/>
    <dgm:cxn modelId="{EA25DF56-692E-4CBD-AB93-6462A7AF7630}" srcId="{AD3CEC2B-5CCD-4B23-A3F2-DB9F5A341360}" destId="{17BFE15D-A8A4-4CB4-933E-492A31B79765}" srcOrd="0" destOrd="0" parTransId="{457C12D5-61A6-4FC4-97AF-8D948A69BC9E}" sibTransId="{B784D103-D408-4F79-A7A5-A242D8CD3256}"/>
    <dgm:cxn modelId="{079B618C-3B43-4BC4-A6FC-4DF4B91ACFFB}" type="presOf" srcId="{BE0157BA-52B1-4280-BE5B-BBA128550DC1}" destId="{A5005502-3BB1-40C1-B4AE-2BDB773880FA}" srcOrd="0" destOrd="0" presId="urn:microsoft.com/office/officeart/2005/8/layout/process4"/>
    <dgm:cxn modelId="{D66C217C-95C0-4546-93EF-34087F5A14B2}" type="presOf" srcId="{0F211A3C-0E06-4305-AAC4-6A5C85F61905}" destId="{9C00E698-1885-4411-99CA-C70591428247}" srcOrd="0" destOrd="0" presId="urn:microsoft.com/office/officeart/2005/8/layout/process4"/>
    <dgm:cxn modelId="{4DBE362C-F00C-42E4-A264-7894D48B0BFE}" srcId="{AD3CEC2B-5CCD-4B23-A3F2-DB9F5A341360}" destId="{234F0A3A-EDA2-4D36-9B5A-629B70F10BDA}" srcOrd="4" destOrd="0" parTransId="{5D1B7FD5-12AA-4586-AA37-F18B87153DDD}" sibTransId="{E7FDD095-AD15-42F2-AAB5-3E04F14D36D4}"/>
    <dgm:cxn modelId="{C722F721-FD63-41A5-ABE9-3A375FD69202}" type="presOf" srcId="{234F0A3A-EDA2-4D36-9B5A-629B70F10BDA}" destId="{7EB666C9-DF61-4C02-AF09-81C5580DCD49}" srcOrd="1" destOrd="0" presId="urn:microsoft.com/office/officeart/2005/8/layout/process4"/>
    <dgm:cxn modelId="{6C2BB01E-540F-4B1C-8055-E0267CF3E84F}" type="presOf" srcId="{0F211A3C-0E06-4305-AAC4-6A5C85F61905}" destId="{6D2E0DC3-6E76-418D-8063-2F527C5F589E}" srcOrd="1" destOrd="0" presId="urn:microsoft.com/office/officeart/2005/8/layout/process4"/>
    <dgm:cxn modelId="{FCD9BD96-8A95-43F8-BFA2-69848BE41F57}" type="presOf" srcId="{BA3EC14D-6F45-4A27-BA0B-E18D5AAFD9EA}" destId="{F153CF14-086A-44E3-A1E0-BB91CBA9B709}" srcOrd="1" destOrd="0" presId="urn:microsoft.com/office/officeart/2005/8/layout/process4"/>
    <dgm:cxn modelId="{6C031895-C287-45AD-BAD5-A405FF7FF551}" srcId="{AD3CEC2B-5CCD-4B23-A3F2-DB9F5A341360}" destId="{0F211A3C-0E06-4305-AAC4-6A5C85F61905}" srcOrd="2" destOrd="0" parTransId="{935FE8E5-1805-4A88-90C0-6CA2F4A46DEA}" sibTransId="{FA002547-4DE4-4734-90D6-0D4FD19E9D16}"/>
    <dgm:cxn modelId="{E03DA946-B779-4178-BC1F-59EDDBA1F3B3}" type="presOf" srcId="{7602F18D-23E8-4CB1-BDA8-6C35E111BAA9}" destId="{2D7D74EA-6DFB-4832-9ED9-B33413045500}" srcOrd="1" destOrd="0" presId="urn:microsoft.com/office/officeart/2005/8/layout/process4"/>
    <dgm:cxn modelId="{AB1EF8A9-617E-4C71-A5C3-1C9AB658DC6D}" srcId="{234F0A3A-EDA2-4D36-9B5A-629B70F10BDA}" destId="{0883A8C8-AF39-4866-A530-BAE4621C8753}" srcOrd="0" destOrd="0" parTransId="{3F08E327-9355-4A6E-9657-47FCD953CBCA}" sibTransId="{6F3C78A4-8744-4D47-856F-AC8F76516B04}"/>
    <dgm:cxn modelId="{B6C160A3-5F0E-46E4-9E2A-7DC1F9FC304C}" type="presOf" srcId="{B3FA7A98-0C8B-4BA3-96B2-439872C0D558}" destId="{9273367E-D39B-4DB5-A624-0F3112A0CC29}" srcOrd="0" destOrd="0" presId="urn:microsoft.com/office/officeart/2005/8/layout/process4"/>
    <dgm:cxn modelId="{277E978C-913A-4AC0-834D-6CBE4B2AA8A3}" type="presOf" srcId="{AD3CEC2B-5CCD-4B23-A3F2-DB9F5A341360}" destId="{DE1E6DB9-5AFA-4758-B2FE-CFB9224BEC30}" srcOrd="0" destOrd="0" presId="urn:microsoft.com/office/officeart/2005/8/layout/process4"/>
    <dgm:cxn modelId="{812D5A46-5C01-4D2E-9064-BF57EF5E6E4D}" srcId="{AD3CEC2B-5CCD-4B23-A3F2-DB9F5A341360}" destId="{7602F18D-23E8-4CB1-BDA8-6C35E111BAA9}" srcOrd="3" destOrd="0" parTransId="{F6FDCCA8-4E46-464A-AC23-C321E4942D22}" sibTransId="{5A200F3B-D64C-4A5D-B675-26E2707FED84}"/>
    <dgm:cxn modelId="{92D3B2A2-11C5-46F5-9653-409A2D2DCBD6}" type="presOf" srcId="{17BFE15D-A8A4-4CB4-933E-492A31B79765}" destId="{CA14706B-0BBC-4634-8E7A-CEBAC0964C11}" srcOrd="1" destOrd="0" presId="urn:microsoft.com/office/officeart/2005/8/layout/process4"/>
    <dgm:cxn modelId="{8C30EBC3-0294-4C3D-9ECD-716DAD5815F9}" type="presOf" srcId="{0883A8C8-AF39-4866-A530-BAE4621C8753}" destId="{BA0B2F9B-9CFF-4E12-8BBE-5772389D7FD6}" srcOrd="0" destOrd="0" presId="urn:microsoft.com/office/officeart/2005/8/layout/process4"/>
    <dgm:cxn modelId="{3A62284B-6CDA-48BC-BAC7-521E3CAB2E2B}" type="presParOf" srcId="{DE1E6DB9-5AFA-4758-B2FE-CFB9224BEC30}" destId="{209C66CB-1F55-421C-8CD9-C95598C8A5A5}" srcOrd="0" destOrd="0" presId="urn:microsoft.com/office/officeart/2005/8/layout/process4"/>
    <dgm:cxn modelId="{87C9603D-6445-45DF-88D4-3393394BCECA}" type="presParOf" srcId="{209C66CB-1F55-421C-8CD9-C95598C8A5A5}" destId="{A5005502-3BB1-40C1-B4AE-2BDB773880FA}" srcOrd="0" destOrd="0" presId="urn:microsoft.com/office/officeart/2005/8/layout/process4"/>
    <dgm:cxn modelId="{3B561A6D-BCB2-4983-925C-6CF5D42CD3B6}" type="presParOf" srcId="{209C66CB-1F55-421C-8CD9-C95598C8A5A5}" destId="{F877480F-56B5-4B78-9700-4F28F4A695FC}" srcOrd="1" destOrd="0" presId="urn:microsoft.com/office/officeart/2005/8/layout/process4"/>
    <dgm:cxn modelId="{3EA81B11-1465-4A20-938B-7E252A1AF19C}" type="presParOf" srcId="{209C66CB-1F55-421C-8CD9-C95598C8A5A5}" destId="{BE3E1AB4-BF32-415A-8FF9-53AD27973AAB}" srcOrd="2" destOrd="0" presId="urn:microsoft.com/office/officeart/2005/8/layout/process4"/>
    <dgm:cxn modelId="{30281F5A-9EF2-4DEB-BC99-37DE0ABF38FF}" type="presParOf" srcId="{BE3E1AB4-BF32-415A-8FF9-53AD27973AAB}" destId="{19CFD45F-27AE-4A0E-8BEE-D7AD700DACA5}" srcOrd="0" destOrd="0" presId="urn:microsoft.com/office/officeart/2005/8/layout/process4"/>
    <dgm:cxn modelId="{9B5949DA-1E9D-443A-B6F3-0CC052F7886F}" type="presParOf" srcId="{DE1E6DB9-5AFA-4758-B2FE-CFB9224BEC30}" destId="{89DE8CBD-1D8A-489D-ABD1-C51D6B7FCB67}" srcOrd="1" destOrd="0" presId="urn:microsoft.com/office/officeart/2005/8/layout/process4"/>
    <dgm:cxn modelId="{2B39DEBA-259D-4574-9B7E-57CDF272B5D5}" type="presParOf" srcId="{DE1E6DB9-5AFA-4758-B2FE-CFB9224BEC30}" destId="{184B6C57-C9A9-4E5F-A091-137AF5AB016E}" srcOrd="2" destOrd="0" presId="urn:microsoft.com/office/officeart/2005/8/layout/process4"/>
    <dgm:cxn modelId="{9EA2B519-191E-4C3D-86F2-4F54F12DF1F2}" type="presParOf" srcId="{184B6C57-C9A9-4E5F-A091-137AF5AB016E}" destId="{3B07CD29-D3C9-4F4B-87AA-7B444C028FF9}" srcOrd="0" destOrd="0" presId="urn:microsoft.com/office/officeart/2005/8/layout/process4"/>
    <dgm:cxn modelId="{AFA4042D-CB15-4DB8-BDD1-8A25202BFA65}" type="presParOf" srcId="{184B6C57-C9A9-4E5F-A091-137AF5AB016E}" destId="{7EB666C9-DF61-4C02-AF09-81C5580DCD49}" srcOrd="1" destOrd="0" presId="urn:microsoft.com/office/officeart/2005/8/layout/process4"/>
    <dgm:cxn modelId="{F3D72921-8DFD-4E84-98ED-E277D4252BD9}" type="presParOf" srcId="{184B6C57-C9A9-4E5F-A091-137AF5AB016E}" destId="{03DE179E-C05F-4817-86FF-21D59BFA277E}" srcOrd="2" destOrd="0" presId="urn:microsoft.com/office/officeart/2005/8/layout/process4"/>
    <dgm:cxn modelId="{65E3D218-9C42-43E5-AC61-21AF01560BA2}" type="presParOf" srcId="{03DE179E-C05F-4817-86FF-21D59BFA277E}" destId="{BA0B2F9B-9CFF-4E12-8BBE-5772389D7FD6}" srcOrd="0" destOrd="0" presId="urn:microsoft.com/office/officeart/2005/8/layout/process4"/>
    <dgm:cxn modelId="{035EBA4B-BD15-43FC-8CEE-F3040A0B0EAF}" type="presParOf" srcId="{DE1E6DB9-5AFA-4758-B2FE-CFB9224BEC30}" destId="{31D43D78-DE90-4AA8-B851-720680DA750A}" srcOrd="3" destOrd="0" presId="urn:microsoft.com/office/officeart/2005/8/layout/process4"/>
    <dgm:cxn modelId="{E2EBE9D7-820A-4CE6-BA86-70656F02249C}" type="presParOf" srcId="{DE1E6DB9-5AFA-4758-B2FE-CFB9224BEC30}" destId="{6193280F-8C0B-4BCE-BCF5-BB0C772F8F46}" srcOrd="4" destOrd="0" presId="urn:microsoft.com/office/officeart/2005/8/layout/process4"/>
    <dgm:cxn modelId="{A35032B1-D606-4EF3-B578-EEF99D9C5067}" type="presParOf" srcId="{6193280F-8C0B-4BCE-BCF5-BB0C772F8F46}" destId="{34B0D9CC-3E19-42FE-977A-E0A51EBA6CE6}" srcOrd="0" destOrd="0" presId="urn:microsoft.com/office/officeart/2005/8/layout/process4"/>
    <dgm:cxn modelId="{30CCD98D-C5E1-49AC-9C33-53A10973883A}" type="presParOf" srcId="{6193280F-8C0B-4BCE-BCF5-BB0C772F8F46}" destId="{2D7D74EA-6DFB-4832-9ED9-B33413045500}" srcOrd="1" destOrd="0" presId="urn:microsoft.com/office/officeart/2005/8/layout/process4"/>
    <dgm:cxn modelId="{E249299F-C1A1-440E-A883-45EC171E7654}" type="presParOf" srcId="{6193280F-8C0B-4BCE-BCF5-BB0C772F8F46}" destId="{3F14BF5B-A013-4E20-913B-427591AE6A2D}" srcOrd="2" destOrd="0" presId="urn:microsoft.com/office/officeart/2005/8/layout/process4"/>
    <dgm:cxn modelId="{7A57DF7E-CB25-4523-8F69-F33A0F0D7024}" type="presParOf" srcId="{3F14BF5B-A013-4E20-913B-427591AE6A2D}" destId="{2467A8F8-A74E-4C9A-BC4B-ADF741E9DB1F}" srcOrd="0" destOrd="0" presId="urn:microsoft.com/office/officeart/2005/8/layout/process4"/>
    <dgm:cxn modelId="{5B532ADA-A421-4F64-B586-B20E190AB655}" type="presParOf" srcId="{DE1E6DB9-5AFA-4758-B2FE-CFB9224BEC30}" destId="{6C3329F8-9B60-4EDF-BEDC-C16147DDBC9D}" srcOrd="5" destOrd="0" presId="urn:microsoft.com/office/officeart/2005/8/layout/process4"/>
    <dgm:cxn modelId="{9F6801C9-37BD-4D2B-9F82-A42AE17F1FF8}" type="presParOf" srcId="{DE1E6DB9-5AFA-4758-B2FE-CFB9224BEC30}" destId="{1848EB2D-0453-440B-B0A7-E290407010B3}" srcOrd="6" destOrd="0" presId="urn:microsoft.com/office/officeart/2005/8/layout/process4"/>
    <dgm:cxn modelId="{2F8E13F9-FE77-41EB-957A-99C760B1C0BE}" type="presParOf" srcId="{1848EB2D-0453-440B-B0A7-E290407010B3}" destId="{9C00E698-1885-4411-99CA-C70591428247}" srcOrd="0" destOrd="0" presId="urn:microsoft.com/office/officeart/2005/8/layout/process4"/>
    <dgm:cxn modelId="{86406D4F-43C5-4E52-8466-163E9948B4F5}" type="presParOf" srcId="{1848EB2D-0453-440B-B0A7-E290407010B3}" destId="{6D2E0DC3-6E76-418D-8063-2F527C5F589E}" srcOrd="1" destOrd="0" presId="urn:microsoft.com/office/officeart/2005/8/layout/process4"/>
    <dgm:cxn modelId="{785AC711-C789-4823-94B9-287249E40119}" type="presParOf" srcId="{1848EB2D-0453-440B-B0A7-E290407010B3}" destId="{740C3C6C-C112-4C01-B5F0-1C1573E979CA}" srcOrd="2" destOrd="0" presId="urn:microsoft.com/office/officeart/2005/8/layout/process4"/>
    <dgm:cxn modelId="{E13D764C-1385-4FDD-8616-68D04165AA7D}" type="presParOf" srcId="{740C3C6C-C112-4C01-B5F0-1C1573E979CA}" destId="{9273367E-D39B-4DB5-A624-0F3112A0CC29}" srcOrd="0" destOrd="0" presId="urn:microsoft.com/office/officeart/2005/8/layout/process4"/>
    <dgm:cxn modelId="{4407B971-BE70-488B-B60A-2C68B361001D}" type="presParOf" srcId="{DE1E6DB9-5AFA-4758-B2FE-CFB9224BEC30}" destId="{EFCB29A7-8F58-45F0-B667-DE78575434F5}" srcOrd="7" destOrd="0" presId="urn:microsoft.com/office/officeart/2005/8/layout/process4"/>
    <dgm:cxn modelId="{B0DFFD77-2AD3-46EC-9999-17CA3559C566}" type="presParOf" srcId="{DE1E6DB9-5AFA-4758-B2FE-CFB9224BEC30}" destId="{ABD08A6E-9275-453A-BDED-CC59092D7C39}" srcOrd="8" destOrd="0" presId="urn:microsoft.com/office/officeart/2005/8/layout/process4"/>
    <dgm:cxn modelId="{2144CF0A-4D8F-4B56-B592-83586127F0AB}" type="presParOf" srcId="{ABD08A6E-9275-453A-BDED-CC59092D7C39}" destId="{CD63CE7D-E054-402F-8FA6-0752F1BF33B8}" srcOrd="0" destOrd="0" presId="urn:microsoft.com/office/officeart/2005/8/layout/process4"/>
    <dgm:cxn modelId="{5ECF7812-7C40-4C57-8C2C-EAD2A19A8FE4}" type="presParOf" srcId="{ABD08A6E-9275-453A-BDED-CC59092D7C39}" destId="{F153CF14-086A-44E3-A1E0-BB91CBA9B709}" srcOrd="1" destOrd="0" presId="urn:microsoft.com/office/officeart/2005/8/layout/process4"/>
    <dgm:cxn modelId="{DF42669F-2B3F-42AF-A586-E7B1111748A8}" type="presParOf" srcId="{ABD08A6E-9275-453A-BDED-CC59092D7C39}" destId="{619723A1-510F-4166-A2C1-0E4204DB1934}" srcOrd="2" destOrd="0" presId="urn:microsoft.com/office/officeart/2005/8/layout/process4"/>
    <dgm:cxn modelId="{DBEA6327-6295-4D4A-BB77-3358164D68CE}" type="presParOf" srcId="{619723A1-510F-4166-A2C1-0E4204DB1934}" destId="{E2D9C795-278C-4A8C-9D4C-D02F13240A35}" srcOrd="0" destOrd="0" presId="urn:microsoft.com/office/officeart/2005/8/layout/process4"/>
    <dgm:cxn modelId="{EBB52BF6-A9DA-46CC-8762-07BEF3D0FAB4}" type="presParOf" srcId="{DE1E6DB9-5AFA-4758-B2FE-CFB9224BEC30}" destId="{4C9D45B6-2BBA-40CB-8C86-225F869973DA}" srcOrd="9" destOrd="0" presId="urn:microsoft.com/office/officeart/2005/8/layout/process4"/>
    <dgm:cxn modelId="{D7470276-DB8B-470D-9B84-794CF000F346}" type="presParOf" srcId="{DE1E6DB9-5AFA-4758-B2FE-CFB9224BEC30}" destId="{A9C72A91-9593-4376-9AF7-3405E62B4E0E}" srcOrd="10" destOrd="0" presId="urn:microsoft.com/office/officeart/2005/8/layout/process4"/>
    <dgm:cxn modelId="{DB5008FD-8F5A-4817-8443-A0D8EFB46936}" type="presParOf" srcId="{A9C72A91-9593-4376-9AF7-3405E62B4E0E}" destId="{420120B8-4DB1-42C0-8F2C-3AE8D601FFEC}" srcOrd="0" destOrd="0" presId="urn:microsoft.com/office/officeart/2005/8/layout/process4"/>
    <dgm:cxn modelId="{F1ECDFFE-5114-45A0-95D5-6838A5BD8E7F}" type="presParOf" srcId="{A9C72A91-9593-4376-9AF7-3405E62B4E0E}" destId="{CA14706B-0BBC-4634-8E7A-CEBAC0964C11}" srcOrd="1" destOrd="0" presId="urn:microsoft.com/office/officeart/2005/8/layout/process4"/>
    <dgm:cxn modelId="{E90A92C3-F151-4DF6-A71D-45E87B2E36AD}" type="presParOf" srcId="{A9C72A91-9593-4376-9AF7-3405E62B4E0E}" destId="{7185BE25-92CC-4F07-A960-C13A1780B837}" srcOrd="2" destOrd="0" presId="urn:microsoft.com/office/officeart/2005/8/layout/process4"/>
    <dgm:cxn modelId="{FA40553B-CF40-4164-BF9D-C56A488FF03F}" type="presParOf" srcId="{7185BE25-92CC-4F07-A960-C13A1780B837}" destId="{A2A90257-D6B2-45DB-99E3-33130C5D16F2}"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77480F-56B5-4B78-9700-4F28F4A695FC}">
      <dsp:nvSpPr>
        <dsp:cNvPr id="0" name=""/>
        <dsp:cNvSpPr/>
      </dsp:nvSpPr>
      <dsp:spPr>
        <a:xfrm>
          <a:off x="0" y="3299037"/>
          <a:ext cx="5191124" cy="43299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Final verification conducted upon project completion as usual</a:t>
          </a:r>
        </a:p>
      </dsp:txBody>
      <dsp:txXfrm>
        <a:off x="0" y="3299037"/>
        <a:ext cx="5191124" cy="233818"/>
      </dsp:txXfrm>
    </dsp:sp>
    <dsp:sp modelId="{19CFD45F-27AE-4A0E-8BEE-D7AD700DACA5}">
      <dsp:nvSpPr>
        <dsp:cNvPr id="0" name=""/>
        <dsp:cNvSpPr/>
      </dsp:nvSpPr>
      <dsp:spPr>
        <a:xfrm>
          <a:off x="0" y="3524195"/>
          <a:ext cx="5191124" cy="199178"/>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b="0" kern="1200">
              <a:latin typeface="Times New Roman" panose="02020603050405020304" pitchFamily="18" charset="0"/>
              <a:cs typeface="Times New Roman" panose="02020603050405020304" pitchFamily="18" charset="0"/>
            </a:rPr>
            <a:t>Evaluator reviews final project documents and provides IC with final results</a:t>
          </a:r>
        </a:p>
      </dsp:txBody>
      <dsp:txXfrm>
        <a:off x="0" y="3524195"/>
        <a:ext cx="5191124" cy="199178"/>
      </dsp:txXfrm>
    </dsp:sp>
    <dsp:sp modelId="{7EB666C9-DF61-4C02-AF09-81C5580DCD49}">
      <dsp:nvSpPr>
        <dsp:cNvPr id="0" name=""/>
        <dsp:cNvSpPr/>
      </dsp:nvSpPr>
      <dsp:spPr>
        <a:xfrm rot="10800000">
          <a:off x="0" y="2639582"/>
          <a:ext cx="5191124" cy="665949"/>
        </a:xfrm>
        <a:prstGeom prst="upArrowCallout">
          <a:avLst/>
        </a:prstGeom>
        <a:solidFill>
          <a:schemeClr val="accent5">
            <a:hueOff val="-469230"/>
            <a:satOff val="5443"/>
            <a:lumOff val="14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Evaluator provides recommended baseline approach to utility/IC within two weeks </a:t>
          </a:r>
        </a:p>
      </dsp:txBody>
      <dsp:txXfrm rot="-10800000">
        <a:off x="0" y="2639582"/>
        <a:ext cx="5191124" cy="233748"/>
      </dsp:txXfrm>
    </dsp:sp>
    <dsp:sp modelId="{BA0B2F9B-9CFF-4E12-8BBE-5772389D7FD6}">
      <dsp:nvSpPr>
        <dsp:cNvPr id="0" name=""/>
        <dsp:cNvSpPr/>
      </dsp:nvSpPr>
      <dsp:spPr>
        <a:xfrm>
          <a:off x="0" y="2862132"/>
          <a:ext cx="5191124" cy="199118"/>
        </a:xfrm>
        <a:prstGeom prst="rect">
          <a:avLst/>
        </a:prstGeom>
        <a:solidFill>
          <a:schemeClr val="accent5">
            <a:tint val="40000"/>
            <a:alpha val="90000"/>
            <a:hueOff val="-758088"/>
            <a:satOff val="3068"/>
            <a:lumOff val="433"/>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b="0" kern="1200">
              <a:latin typeface="Times New Roman" panose="02020603050405020304" pitchFamily="18" charset="0"/>
              <a:cs typeface="Times New Roman" panose="02020603050405020304" pitchFamily="18" charset="0"/>
            </a:rPr>
            <a:t>Evaluator provides quick feedback to avoid slowing down project approval</a:t>
          </a:r>
        </a:p>
      </dsp:txBody>
      <dsp:txXfrm>
        <a:off x="0" y="2862132"/>
        <a:ext cx="5191124" cy="199118"/>
      </dsp:txXfrm>
    </dsp:sp>
    <dsp:sp modelId="{2D7D74EA-6DFB-4832-9ED9-B33413045500}">
      <dsp:nvSpPr>
        <dsp:cNvPr id="0" name=""/>
        <dsp:cNvSpPr/>
      </dsp:nvSpPr>
      <dsp:spPr>
        <a:xfrm rot="10800000">
          <a:off x="0" y="1991329"/>
          <a:ext cx="5191124" cy="665949"/>
        </a:xfrm>
        <a:prstGeom prst="upArrowCallout">
          <a:avLst/>
        </a:prstGeom>
        <a:solidFill>
          <a:schemeClr val="accent5">
            <a:hueOff val="-938460"/>
            <a:satOff val="10886"/>
            <a:lumOff val="282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Monthly team calls and enhanced on-going communication</a:t>
          </a:r>
        </a:p>
      </dsp:txBody>
      <dsp:txXfrm rot="-10800000">
        <a:off x="0" y="1991329"/>
        <a:ext cx="5191124" cy="233748"/>
      </dsp:txXfrm>
    </dsp:sp>
    <dsp:sp modelId="{2467A8F8-A74E-4C9A-BC4B-ADF741E9DB1F}">
      <dsp:nvSpPr>
        <dsp:cNvPr id="0" name=""/>
        <dsp:cNvSpPr/>
      </dsp:nvSpPr>
      <dsp:spPr>
        <a:xfrm>
          <a:off x="0" y="2213876"/>
          <a:ext cx="5191124" cy="199118"/>
        </a:xfrm>
        <a:prstGeom prst="rect">
          <a:avLst/>
        </a:prstGeom>
        <a:solidFill>
          <a:schemeClr val="accent5">
            <a:tint val="40000"/>
            <a:alpha val="90000"/>
            <a:hueOff val="-1516176"/>
            <a:satOff val="6136"/>
            <a:lumOff val="867"/>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b="0" kern="1200">
              <a:latin typeface="Times New Roman" panose="02020603050405020304" pitchFamily="18" charset="0"/>
              <a:cs typeface="Times New Roman" panose="02020603050405020304" pitchFamily="18" charset="0"/>
            </a:rPr>
            <a:t>IC may provide additional data or clarifying information</a:t>
          </a:r>
        </a:p>
      </dsp:txBody>
      <dsp:txXfrm>
        <a:off x="0" y="2213876"/>
        <a:ext cx="5191124" cy="199118"/>
      </dsp:txXfrm>
    </dsp:sp>
    <dsp:sp modelId="{6D2E0DC3-6E76-418D-8063-2F527C5F589E}">
      <dsp:nvSpPr>
        <dsp:cNvPr id="0" name=""/>
        <dsp:cNvSpPr/>
      </dsp:nvSpPr>
      <dsp:spPr>
        <a:xfrm rot="10800000">
          <a:off x="0" y="1320674"/>
          <a:ext cx="5191124" cy="665949"/>
        </a:xfrm>
        <a:prstGeom prst="upArrowCallout">
          <a:avLst/>
        </a:prstGeom>
        <a:solidFill>
          <a:schemeClr val="accent5">
            <a:hueOff val="-1407690"/>
            <a:satOff val="16329"/>
            <a:lumOff val="423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IC provides proposed baseline and efficient equipment calculation and back-up</a:t>
          </a:r>
        </a:p>
      </dsp:txBody>
      <dsp:txXfrm rot="-10800000">
        <a:off x="0" y="1320674"/>
        <a:ext cx="5191124" cy="233748"/>
      </dsp:txXfrm>
    </dsp:sp>
    <dsp:sp modelId="{9273367E-D39B-4DB5-A624-0F3112A0CC29}">
      <dsp:nvSpPr>
        <dsp:cNvPr id="0" name=""/>
        <dsp:cNvSpPr/>
      </dsp:nvSpPr>
      <dsp:spPr>
        <a:xfrm>
          <a:off x="0" y="1554422"/>
          <a:ext cx="5191124" cy="199118"/>
        </a:xfrm>
        <a:prstGeom prst="rect">
          <a:avLst/>
        </a:prstGeom>
        <a:solidFill>
          <a:schemeClr val="accent5">
            <a:tint val="40000"/>
            <a:alpha val="90000"/>
            <a:hueOff val="-2274264"/>
            <a:satOff val="9204"/>
            <a:lumOff val="130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b="0" kern="1200">
              <a:latin typeface="Times New Roman" panose="02020603050405020304" pitchFamily="18" charset="0"/>
              <a:cs typeface="Times New Roman" panose="02020603050405020304" pitchFamily="18" charset="0"/>
            </a:rPr>
            <a:t>Evaluator provides IC documented recommendations within two weeks</a:t>
          </a:r>
        </a:p>
      </dsp:txBody>
      <dsp:txXfrm>
        <a:off x="0" y="1554422"/>
        <a:ext cx="5191124" cy="199118"/>
      </dsp:txXfrm>
    </dsp:sp>
    <dsp:sp modelId="{F153CF14-086A-44E3-A1E0-BB91CBA9B709}">
      <dsp:nvSpPr>
        <dsp:cNvPr id="0" name=""/>
        <dsp:cNvSpPr/>
      </dsp:nvSpPr>
      <dsp:spPr>
        <a:xfrm rot="10800000">
          <a:off x="0" y="661220"/>
          <a:ext cx="5191124" cy="665949"/>
        </a:xfrm>
        <a:prstGeom prst="upArrowCallout">
          <a:avLst/>
        </a:prstGeom>
        <a:solidFill>
          <a:schemeClr val="accent5">
            <a:hueOff val="-1876920"/>
            <a:satOff val="21772"/>
            <a:lumOff val="564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Review at time of application (“Early Review”)</a:t>
          </a:r>
        </a:p>
      </dsp:txBody>
      <dsp:txXfrm rot="-10800000">
        <a:off x="0" y="661220"/>
        <a:ext cx="5191124" cy="233748"/>
      </dsp:txXfrm>
    </dsp:sp>
    <dsp:sp modelId="{E2D9C795-278C-4A8C-9D4C-D02F13240A35}">
      <dsp:nvSpPr>
        <dsp:cNvPr id="0" name=""/>
        <dsp:cNvSpPr/>
      </dsp:nvSpPr>
      <dsp:spPr>
        <a:xfrm>
          <a:off x="0" y="894968"/>
          <a:ext cx="5191124" cy="199118"/>
        </a:xfrm>
        <a:prstGeom prst="rect">
          <a:avLst/>
        </a:prstGeom>
        <a:solidFill>
          <a:schemeClr val="accent5">
            <a:tint val="40000"/>
            <a:alpha val="90000"/>
            <a:hueOff val="-3032352"/>
            <a:satOff val="12272"/>
            <a:lumOff val="1734"/>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b="0" kern="1200">
              <a:latin typeface="Times New Roman" panose="02020603050405020304" pitchFamily="18" charset="0"/>
              <a:cs typeface="Times New Roman" panose="02020603050405020304" pitchFamily="18" charset="0"/>
            </a:rPr>
            <a:t>IC notifies evaluator of need for review and provides project data</a:t>
          </a:r>
        </a:p>
      </dsp:txBody>
      <dsp:txXfrm>
        <a:off x="0" y="894968"/>
        <a:ext cx="5191124" cy="199118"/>
      </dsp:txXfrm>
    </dsp:sp>
    <dsp:sp modelId="{CA14706B-0BBC-4634-8E7A-CEBAC0964C11}">
      <dsp:nvSpPr>
        <dsp:cNvPr id="0" name=""/>
        <dsp:cNvSpPr/>
      </dsp:nvSpPr>
      <dsp:spPr>
        <a:xfrm rot="10800000">
          <a:off x="0" y="1632"/>
          <a:ext cx="5191124" cy="665949"/>
        </a:xfrm>
        <a:prstGeom prst="upArrowCallout">
          <a:avLst/>
        </a:prstGeom>
        <a:solidFill>
          <a:schemeClr val="accent5">
            <a:hueOff val="-2346150"/>
            <a:satOff val="27215"/>
            <a:lumOff val="70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Top 10 custom projects</a:t>
          </a:r>
        </a:p>
      </dsp:txBody>
      <dsp:txXfrm rot="-10800000">
        <a:off x="0" y="1632"/>
        <a:ext cx="5191124" cy="233748"/>
      </dsp:txXfrm>
    </dsp:sp>
    <dsp:sp modelId="{A2A90257-D6B2-45DB-99E3-33130C5D16F2}">
      <dsp:nvSpPr>
        <dsp:cNvPr id="0" name=""/>
        <dsp:cNvSpPr/>
      </dsp:nvSpPr>
      <dsp:spPr>
        <a:xfrm>
          <a:off x="0" y="235514"/>
          <a:ext cx="5191124" cy="199118"/>
        </a:xfrm>
        <a:prstGeom prst="rect">
          <a:avLst/>
        </a:prstGeom>
        <a:solidFill>
          <a:schemeClr val="accent5">
            <a:tint val="40000"/>
            <a:alpha val="90000"/>
            <a:hueOff val="-3790440"/>
            <a:satOff val="15340"/>
            <a:lumOff val="2167"/>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b="0" kern="1200">
              <a:latin typeface="Times New Roman" panose="02020603050405020304" pitchFamily="18" charset="0"/>
              <a:cs typeface="Times New Roman" panose="02020603050405020304" pitchFamily="18" charset="0"/>
            </a:rPr>
            <a:t>Top large or complex projects</a:t>
          </a:r>
        </a:p>
      </dsp:txBody>
      <dsp:txXfrm>
        <a:off x="0" y="235514"/>
        <a:ext cx="5191124" cy="1991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rgbClr val="000000"/>
      </a:dk1>
      <a:lt1>
        <a:srgbClr val="FFFFFF"/>
      </a:lt1>
      <a:dk2>
        <a:srgbClr val="6F6754"/>
      </a:dk2>
      <a:lt2>
        <a:srgbClr val="B7B09F"/>
      </a:lt2>
      <a:accent1>
        <a:srgbClr val="E5C749"/>
      </a:accent1>
      <a:accent2>
        <a:srgbClr val="850C70"/>
      </a:accent2>
      <a:accent3>
        <a:srgbClr val="00539B"/>
      </a:accent3>
      <a:accent4>
        <a:srgbClr val="007F7B"/>
      </a:accent4>
      <a:accent5>
        <a:srgbClr val="566C11"/>
      </a:accent5>
      <a:accent6>
        <a:srgbClr val="A15F00"/>
      </a:accent6>
      <a:hlink>
        <a:srgbClr val="5C2801"/>
      </a:hlink>
      <a:folHlink>
        <a:srgbClr val="8F2E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6BB29-62CF-4013-A096-F09651CD70CC}">
  <ds:schemaRefs>
    <ds:schemaRef ds:uri="http://schemas.openxmlformats.org/officeDocument/2006/bibliography"/>
  </ds:schemaRefs>
</ds:datastoreItem>
</file>

<file path=customXml/itemProps2.xml><?xml version="1.0" encoding="utf-8"?>
<ds:datastoreItem xmlns:ds="http://schemas.openxmlformats.org/officeDocument/2006/customXml" ds:itemID="{6713321A-DA56-4032-88CD-5C8D7765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4474</Words>
  <Characters>25503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29918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NCI</dc:creator>
  <cp:lastModifiedBy>Scott Dimetrosky</cp:lastModifiedBy>
  <cp:revision>3</cp:revision>
  <cp:lastPrinted>2014-05-19T17:19:00Z</cp:lastPrinted>
  <dcterms:created xsi:type="dcterms:W3CDTF">2014-07-10T16:33:00Z</dcterms:created>
  <dcterms:modified xsi:type="dcterms:W3CDTF">2014-11-18T17:15:00Z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