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D6FF45" w14:textId="74A05C5D" w:rsidR="001738DF" w:rsidRDefault="00E61A7E" w:rsidP="004D0F00">
      <w:pPr>
        <w:pStyle w:val="Title"/>
        <w:ind w:firstLine="0"/>
      </w:pPr>
      <w:r>
        <w:t xml:space="preserve">Midterm </w:t>
      </w:r>
      <w:r w:rsidR="001738DF" w:rsidRPr="00C04DE1">
        <w:t>Results from EISA 2007</w:t>
      </w:r>
    </w:p>
    <w:p w14:paraId="150BD542" w14:textId="77777777" w:rsidR="001738DF" w:rsidRDefault="001738DF" w:rsidP="008B25DB">
      <w:pPr>
        <w:pStyle w:val="authors"/>
      </w:pPr>
      <w:r>
        <w:t>Scott Dimetrosky and Katie Parkinson, Apex Analytics</w:t>
      </w:r>
    </w:p>
    <w:p w14:paraId="0200FAA1" w14:textId="77777777" w:rsidR="001738DF" w:rsidRDefault="001738DF" w:rsidP="00D508DA">
      <w:pPr>
        <w:pStyle w:val="Heading1"/>
      </w:pPr>
      <w:r w:rsidRPr="008B25DB">
        <w:t>ABSTRACT</w:t>
      </w:r>
    </w:p>
    <w:p w14:paraId="7782B066" w14:textId="5EF5CCDC" w:rsidR="00E61A7E" w:rsidRPr="00E61A7E" w:rsidRDefault="00E61A7E" w:rsidP="00E61A7E">
      <w:pPr>
        <w:jc w:val="left"/>
      </w:pPr>
      <w:r w:rsidRPr="00E61A7E">
        <w:t>The 2007 Energy Independence and Security Act</w:t>
      </w:r>
      <w:r w:rsidR="00BE3625">
        <w:t xml:space="preserve"> (EISA)</w:t>
      </w:r>
      <w:r w:rsidRPr="00E61A7E">
        <w:t xml:space="preserve"> enacted a number of substantial energy efficiency codes and standards, perhaps the most notable of which was the requirement that that most screw-based light bulbs become approximately 28% more energy efficient—as measured by the lumens per watt (LPW)—beginning in 2012. The legislation is phased-in, beginning with 100-watt equivalents in 2012, 75-watt equivalents in 2013, and 60/40-watt equivalents in 2014. </w:t>
      </w:r>
    </w:p>
    <w:p w14:paraId="6BB64159" w14:textId="368B97D5" w:rsidR="00E61A7E" w:rsidRPr="00E61A7E" w:rsidRDefault="0049490B" w:rsidP="00E61A7E">
      <w:pPr>
        <w:jc w:val="left"/>
      </w:pPr>
      <w:r>
        <w:t xml:space="preserve">This paper provides an </w:t>
      </w:r>
      <w:r w:rsidR="00E61A7E" w:rsidRPr="00E61A7E">
        <w:t xml:space="preserve">update on the phase-in, looking at EISA impacts through early 2014. Longitudinal results </w:t>
      </w:r>
      <w:r>
        <w:t>are</w:t>
      </w:r>
      <w:r w:rsidR="00E61A7E" w:rsidRPr="00E61A7E">
        <w:t xml:space="preserve"> presented, allowing for comparisons of findings with prior research </w:t>
      </w:r>
      <w:r w:rsidR="00E61A7E">
        <w:t xml:space="preserve">from the following perspectives. </w:t>
      </w:r>
    </w:p>
    <w:p w14:paraId="7822C7D4" w14:textId="359285A1" w:rsidR="00E61A7E" w:rsidRPr="00E61A7E" w:rsidRDefault="00501657" w:rsidP="00E61A7E">
      <w:pPr>
        <w:jc w:val="left"/>
      </w:pPr>
      <w:proofErr w:type="gramStart"/>
      <w:r>
        <w:rPr>
          <w:u w:val="single"/>
        </w:rPr>
        <w:t>Supplier</w:t>
      </w:r>
      <w:r w:rsidR="000B2E61">
        <w:rPr>
          <w:u w:val="single"/>
        </w:rPr>
        <w:t xml:space="preserve"> Perspective</w:t>
      </w:r>
      <w:r w:rsidR="00E61A7E" w:rsidRPr="00E61A7E">
        <w:rPr>
          <w:u w:val="single"/>
        </w:rPr>
        <w:t>.</w:t>
      </w:r>
      <w:proofErr w:type="gramEnd"/>
      <w:r w:rsidR="00E61A7E" w:rsidRPr="00E61A7E">
        <w:t xml:space="preserve"> </w:t>
      </w:r>
      <w:r w:rsidR="009F7E62">
        <w:t>Are lighting suppliers supporting the legislation?</w:t>
      </w:r>
      <w:r w:rsidR="00717CE4">
        <w:t xml:space="preserve"> </w:t>
      </w:r>
      <w:r w:rsidR="00E61A7E" w:rsidRPr="00E61A7E">
        <w:t xml:space="preserve">What actions have retailers </w:t>
      </w:r>
      <w:r>
        <w:t xml:space="preserve">and manufacturers </w:t>
      </w:r>
      <w:r w:rsidR="00E61A7E" w:rsidRPr="00E61A7E">
        <w:t>taken to educate consumers, and what products are they stocking and promoting?</w:t>
      </w:r>
      <w:r>
        <w:t xml:space="preserve"> Are lighting suppliers aware of this legislation?</w:t>
      </w:r>
    </w:p>
    <w:p w14:paraId="4866ED4E" w14:textId="77777777" w:rsidR="009D5190" w:rsidRPr="00501657" w:rsidRDefault="009D5190" w:rsidP="009D5190">
      <w:pPr>
        <w:jc w:val="left"/>
      </w:pPr>
      <w:proofErr w:type="gramStart"/>
      <w:r>
        <w:rPr>
          <w:u w:val="single"/>
        </w:rPr>
        <w:t>Lamp Availability.</w:t>
      </w:r>
      <w:proofErr w:type="gramEnd"/>
      <w:r>
        <w:rPr>
          <w:i/>
          <w:u w:val="single"/>
        </w:rPr>
        <w:t xml:space="preserve"> </w:t>
      </w:r>
      <w:r>
        <w:t>What types of bulbs are available for retail sale? How has this changed since the beginning of EISA standards?</w:t>
      </w:r>
    </w:p>
    <w:p w14:paraId="47E953A3" w14:textId="31834575" w:rsidR="00E61A7E" w:rsidRDefault="00E61A7E" w:rsidP="00D85C28">
      <w:pPr>
        <w:jc w:val="left"/>
      </w:pPr>
      <w:proofErr w:type="gramStart"/>
      <w:r w:rsidRPr="00E61A7E">
        <w:rPr>
          <w:u w:val="single"/>
        </w:rPr>
        <w:t>Consumer</w:t>
      </w:r>
      <w:r w:rsidR="000B2E61">
        <w:rPr>
          <w:u w:val="single"/>
        </w:rPr>
        <w:t xml:space="preserve"> Perspective</w:t>
      </w:r>
      <w:r w:rsidRPr="00E61A7E">
        <w:rPr>
          <w:u w:val="single"/>
        </w:rPr>
        <w:t>.</w:t>
      </w:r>
      <w:proofErr w:type="gramEnd"/>
      <w:r w:rsidRPr="00E61A7E">
        <w:t xml:space="preserve"> </w:t>
      </w:r>
      <w:r w:rsidR="009F7E62">
        <w:t>Are consumers aware of the legislation? How have they responded?</w:t>
      </w:r>
      <w:r w:rsidRPr="00E61A7E">
        <w:t xml:space="preserve"> Have consumers stockpiled legacy incandescent bulbs? Are consumers “downsizing” to a lower wa</w:t>
      </w:r>
      <w:r w:rsidR="000D0816">
        <w:t>ttage incandescent?</w:t>
      </w:r>
      <w:r w:rsidR="000B2E61">
        <w:t xml:space="preserve"> </w:t>
      </w:r>
      <w:r w:rsidR="000D0816">
        <w:t xml:space="preserve">Are they </w:t>
      </w:r>
      <w:r w:rsidRPr="00E61A7E">
        <w:t>purchasing EISA compliant bulbs, or switching to CFLs?</w:t>
      </w:r>
      <w:r w:rsidR="002120F5">
        <w:t xml:space="preserve"> </w:t>
      </w:r>
      <w:r w:rsidRPr="00E61A7E">
        <w:t xml:space="preserve">The paper will present data from a </w:t>
      </w:r>
      <w:r w:rsidR="009D5190">
        <w:t>10</w:t>
      </w:r>
      <w:r w:rsidRPr="00E61A7E">
        <w:t xml:space="preserve"> states, relying on primary data collected as part of evaluation efforts throughout the U.S. The results are critical for understanding what savings are really being achieved by EISA, and what additional energy efficiency opportunities remain for program administrators.</w:t>
      </w:r>
    </w:p>
    <w:p w14:paraId="13438F46" w14:textId="77777777" w:rsidR="001738DF" w:rsidRDefault="001738DF" w:rsidP="008D2353">
      <w:pPr>
        <w:jc w:val="left"/>
      </w:pPr>
    </w:p>
    <w:p w14:paraId="21DC2302" w14:textId="77777777" w:rsidR="001738DF" w:rsidRPr="00D508DA" w:rsidRDefault="001738DF" w:rsidP="00D508DA">
      <w:pPr>
        <w:pStyle w:val="Heading1"/>
      </w:pPr>
      <w:r w:rsidRPr="00D508DA">
        <w:t>Background</w:t>
      </w:r>
    </w:p>
    <w:p w14:paraId="1537CE82" w14:textId="77777777" w:rsidR="001738DF" w:rsidRDefault="001738DF" w:rsidP="000D3810">
      <w:pPr>
        <w:widowControl w:val="0"/>
        <w:jc w:val="left"/>
      </w:pPr>
    </w:p>
    <w:p w14:paraId="18FA0F58" w14:textId="0EA55165" w:rsidR="001738DF" w:rsidRDefault="001738DF" w:rsidP="006C01E8">
      <w:pPr>
        <w:jc w:val="left"/>
      </w:pPr>
      <w:r w:rsidRPr="00C237A6">
        <w:t>In December</w:t>
      </w:r>
      <w:r w:rsidR="005538C6">
        <w:t xml:space="preserve"> of</w:t>
      </w:r>
      <w:r w:rsidRPr="00C237A6">
        <w:t xml:space="preserve"> 2007</w:t>
      </w:r>
      <w:r w:rsidR="005538C6">
        <w:t>,</w:t>
      </w:r>
      <w:r w:rsidRPr="00C237A6">
        <w:t xml:space="preserve"> </w:t>
      </w:r>
      <w:r w:rsidR="00DB64F7">
        <w:t xml:space="preserve">President </w:t>
      </w:r>
      <w:r w:rsidRPr="00C237A6">
        <w:t>George W. Bush signed the Energy Independence and Security Act</w:t>
      </w:r>
      <w:r>
        <w:t xml:space="preserve"> (EISA). The law </w:t>
      </w:r>
      <w:r w:rsidRPr="001C0578">
        <w:t xml:space="preserve">established energy management goals and requirements while also amending portions of the National Energy Conservation Policy Act (NECPA). </w:t>
      </w:r>
      <w:r>
        <w:t>The law includes a number of energy efficiency requirements</w:t>
      </w:r>
      <w:r w:rsidR="00126F5F">
        <w:t>, including</w:t>
      </w:r>
      <w:r>
        <w:t xml:space="preserve"> federal energy use, motor standards, </w:t>
      </w:r>
      <w:r w:rsidR="00126F5F">
        <w:t xml:space="preserve">and </w:t>
      </w:r>
      <w:proofErr w:type="gramStart"/>
      <w:r w:rsidR="00126F5F">
        <w:t xml:space="preserve">a </w:t>
      </w:r>
      <w:r>
        <w:t xml:space="preserve"> number</w:t>
      </w:r>
      <w:proofErr w:type="gramEnd"/>
      <w:r>
        <w:t xml:space="preserve"> of lighting requirements. </w:t>
      </w:r>
    </w:p>
    <w:p w14:paraId="12602A24" w14:textId="47E8A76C" w:rsidR="00C61CB2" w:rsidRDefault="001738DF" w:rsidP="000D3810">
      <w:pPr>
        <w:jc w:val="left"/>
      </w:pPr>
      <w:r>
        <w:t xml:space="preserve">Perhaps the most notable EISA requirement is Section 321, which sets, for the first time, efficiency standards for “general service” light bulbs. </w:t>
      </w:r>
      <w:r w:rsidR="00DB64F7">
        <w:t xml:space="preserve">Beginning in 2012, </w:t>
      </w:r>
      <w:r w:rsidRPr="00FD22C5">
        <w:t xml:space="preserve">EISA requires that most screw-based light bulbs </w:t>
      </w:r>
      <w:r w:rsidR="000A4B70">
        <w:t xml:space="preserve">are </w:t>
      </w:r>
      <w:r w:rsidRPr="00FD22C5">
        <w:t xml:space="preserve">approximately 28% more energy efficient—as measured by the lumens per watt (LPW). </w:t>
      </w:r>
      <w:r w:rsidR="00C61CB2">
        <w:t xml:space="preserve">The law is technology neutral, </w:t>
      </w:r>
      <w:r w:rsidR="00487418">
        <w:t>stating</w:t>
      </w:r>
      <w:r w:rsidR="00C61CB2">
        <w:t xml:space="preserve"> “The regulation is not a product ‘ban’, but a performance requirement for wattage, lumen output and life.</w:t>
      </w:r>
      <w:r w:rsidR="00C50FCA">
        <w:t>”</w:t>
      </w:r>
      <w:r w:rsidR="00C50FCA">
        <w:rPr>
          <w:rStyle w:val="FootnoteReference"/>
        </w:rPr>
        <w:footnoteReference w:id="2"/>
      </w:r>
      <w:r w:rsidR="00C50FCA">
        <w:t xml:space="preserve"> In other words, </w:t>
      </w:r>
      <w:r w:rsidR="00C50FCA" w:rsidRPr="00C50FCA">
        <w:t xml:space="preserve">EISA </w:t>
      </w:r>
      <w:r w:rsidR="00C50FCA" w:rsidRPr="00C50FCA">
        <w:lastRenderedPageBreak/>
        <w:t xml:space="preserve">requires typical light bulbs to be more </w:t>
      </w:r>
      <w:r w:rsidR="009D5190">
        <w:t xml:space="preserve">efficient either </w:t>
      </w:r>
      <w:proofErr w:type="gramStart"/>
      <w:r w:rsidR="009D5190">
        <w:t xml:space="preserve">by </w:t>
      </w:r>
      <w:r w:rsidR="00C50FCA" w:rsidRPr="00C50FCA">
        <w:t xml:space="preserve"> improving</w:t>
      </w:r>
      <w:proofErr w:type="gramEnd"/>
      <w:r w:rsidR="00C50FCA" w:rsidRPr="00C50FCA">
        <w:t xml:space="preserve"> today’s typical light bulb or </w:t>
      </w:r>
      <w:r w:rsidR="009A5257">
        <w:t>by</w:t>
      </w:r>
      <w:r w:rsidR="009A5257" w:rsidRPr="00C50FCA">
        <w:t xml:space="preserve"> </w:t>
      </w:r>
      <w:r w:rsidR="009D5190">
        <w:t xml:space="preserve">the creation of new </w:t>
      </w:r>
      <w:r w:rsidR="00C50FCA" w:rsidRPr="00C50FCA">
        <w:t>lighting products.</w:t>
      </w:r>
    </w:p>
    <w:p w14:paraId="38F5DEAD" w14:textId="07D0038A" w:rsidR="001738DF" w:rsidRDefault="00501657" w:rsidP="00C40AA0">
      <w:pPr>
        <w:jc w:val="left"/>
      </w:pPr>
      <w:r>
        <w:t>EISA</w:t>
      </w:r>
      <w:r w:rsidR="001738DF" w:rsidRPr="00FD22C5">
        <w:t xml:space="preserve"> legislation is </w:t>
      </w:r>
      <w:r w:rsidR="00DB64F7">
        <w:t>implemented in stages</w:t>
      </w:r>
      <w:r w:rsidR="001738DF" w:rsidRPr="00FD22C5">
        <w:t>, beginning with 100-watt equivalents in 2012, 75-watt equivalents in 2013, and 60/40-watt equivalents in 2014</w:t>
      </w:r>
      <w:r w:rsidR="00C40AA0">
        <w:t xml:space="preserve"> (</w:t>
      </w:r>
      <w:r w:rsidR="00C40AA0">
        <w:fldChar w:fldCharType="begin"/>
      </w:r>
      <w:r w:rsidR="00C40AA0">
        <w:instrText xml:space="preserve"> REF _Ref319849874 \h </w:instrText>
      </w:r>
      <w:r w:rsidR="00C40AA0">
        <w:fldChar w:fldCharType="separate"/>
      </w:r>
      <w:r w:rsidR="00C40AA0">
        <w:t xml:space="preserve">Table </w:t>
      </w:r>
      <w:r w:rsidR="00C40AA0">
        <w:rPr>
          <w:noProof/>
        </w:rPr>
        <w:t>1</w:t>
      </w:r>
      <w:r w:rsidR="00C40AA0">
        <w:fldChar w:fldCharType="end"/>
      </w:r>
      <w:r w:rsidR="00C40AA0">
        <w:t>)</w:t>
      </w:r>
      <w:r w:rsidR="006C514E">
        <w:t>.</w:t>
      </w:r>
      <w:r>
        <w:t xml:space="preserve"> </w:t>
      </w:r>
      <w:r w:rsidR="00DB64F7">
        <w:t xml:space="preserve">Similar </w:t>
      </w:r>
      <w:r>
        <w:t>California legislation</w:t>
      </w:r>
      <w:r w:rsidR="00C40AA0">
        <w:t>,</w:t>
      </w:r>
      <w:r w:rsidR="009E0804">
        <w:t xml:space="preserve"> </w:t>
      </w:r>
      <w:r w:rsidR="009A5257">
        <w:t xml:space="preserve">Assembly Bill (AB) </w:t>
      </w:r>
      <w:r>
        <w:t>1109</w:t>
      </w:r>
      <w:r w:rsidR="00410DF9">
        <w:t>,</w:t>
      </w:r>
      <w:r>
        <w:t xml:space="preserve"> phased in </w:t>
      </w:r>
      <w:r w:rsidR="00650D56">
        <w:t xml:space="preserve">these standards </w:t>
      </w:r>
      <w:r w:rsidR="009E0804">
        <w:t>one year earlier than EISA require</w:t>
      </w:r>
      <w:r w:rsidR="00285BEA">
        <w:t>s</w:t>
      </w:r>
      <w:r w:rsidR="001738DF" w:rsidRPr="00FD22C5">
        <w:t xml:space="preserve">. </w:t>
      </w:r>
      <w:r w:rsidR="00285BEA">
        <w:t>The</w:t>
      </w:r>
      <w:r w:rsidR="001738DF">
        <w:t xml:space="preserve"> law </w:t>
      </w:r>
      <w:r w:rsidR="00DB64F7">
        <w:t xml:space="preserve">only regulates </w:t>
      </w:r>
      <w:proofErr w:type="gramStart"/>
      <w:r w:rsidR="001738DF">
        <w:t>manufacturing</w:t>
      </w:r>
      <w:r w:rsidR="00285BEA">
        <w:t>,</w:t>
      </w:r>
      <w:proofErr w:type="gramEnd"/>
      <w:r w:rsidR="00285BEA">
        <w:t xml:space="preserve"> s</w:t>
      </w:r>
      <w:r w:rsidR="00410DF9">
        <w:t>t</w:t>
      </w:r>
      <w:r w:rsidR="00285BEA">
        <w:t>o</w:t>
      </w:r>
      <w:r w:rsidR="00C61CB2">
        <w:t>re</w:t>
      </w:r>
      <w:r w:rsidR="00410DF9">
        <w:t xml:space="preserve"> re</w:t>
      </w:r>
      <w:r w:rsidR="00C61CB2">
        <w:t xml:space="preserve">tailers </w:t>
      </w:r>
      <w:r w:rsidR="00285BEA">
        <w:t>may</w:t>
      </w:r>
      <w:r w:rsidR="00410DF9">
        <w:t xml:space="preserve"> </w:t>
      </w:r>
      <w:r w:rsidR="00C61CB2">
        <w:t>sell legacy incandescent bulbs until they deplete their stock</w:t>
      </w:r>
      <w:r w:rsidR="00285BEA">
        <w:t xml:space="preserve">. A number of </w:t>
      </w:r>
      <w:r w:rsidR="00410DF9">
        <w:t xml:space="preserve">bulb </w:t>
      </w:r>
      <w:r w:rsidR="00285BEA">
        <w:t>exemptions are included</w:t>
      </w:r>
      <w:r w:rsidR="00410DF9">
        <w:t xml:space="preserve"> in the bill, such as certain globe, candelabra, high lumen output bulbs</w:t>
      </w:r>
      <w:r w:rsidR="00285BEA">
        <w:t>.</w:t>
      </w:r>
      <w:r w:rsidR="001738DF">
        <w:t xml:space="preserve"> </w:t>
      </w:r>
    </w:p>
    <w:p w14:paraId="4B6C6FE9" w14:textId="77777777" w:rsidR="001738DF" w:rsidRDefault="001738DF" w:rsidP="000D3810">
      <w:pPr>
        <w:jc w:val="left"/>
      </w:pPr>
    </w:p>
    <w:p w14:paraId="1A0E080D" w14:textId="637E5632" w:rsidR="001738DF" w:rsidRPr="002120F5" w:rsidRDefault="001738DF" w:rsidP="002120F5">
      <w:pPr>
        <w:pStyle w:val="tabletitle"/>
        <w:keepNext/>
        <w:ind w:firstLine="0"/>
        <w:jc w:val="left"/>
        <w:rPr>
          <w:b w:val="0"/>
        </w:rPr>
      </w:pPr>
      <w:bookmarkStart w:id="0" w:name="_Ref319849874"/>
      <w:proofErr w:type="gramStart"/>
      <w:r w:rsidRPr="002120F5">
        <w:rPr>
          <w:b w:val="0"/>
        </w:rPr>
        <w:t xml:space="preserve">Table </w:t>
      </w:r>
      <w:r w:rsidR="00104659" w:rsidRPr="002120F5">
        <w:rPr>
          <w:b w:val="0"/>
        </w:rPr>
        <w:fldChar w:fldCharType="begin"/>
      </w:r>
      <w:r w:rsidR="00104659" w:rsidRPr="002120F5">
        <w:rPr>
          <w:b w:val="0"/>
        </w:rPr>
        <w:instrText xml:space="preserve"> SEQ Table \* ARABIC </w:instrText>
      </w:r>
      <w:r w:rsidR="00104659" w:rsidRPr="002120F5">
        <w:rPr>
          <w:b w:val="0"/>
        </w:rPr>
        <w:fldChar w:fldCharType="separate"/>
      </w:r>
      <w:r w:rsidR="00892113" w:rsidRPr="002120F5">
        <w:rPr>
          <w:b w:val="0"/>
          <w:noProof/>
        </w:rPr>
        <w:t>1</w:t>
      </w:r>
      <w:r w:rsidR="00104659" w:rsidRPr="002120F5">
        <w:rPr>
          <w:b w:val="0"/>
          <w:noProof/>
        </w:rPr>
        <w:fldChar w:fldCharType="end"/>
      </w:r>
      <w:bookmarkEnd w:id="0"/>
      <w:r w:rsidRPr="002120F5">
        <w:rPr>
          <w:b w:val="0"/>
        </w:rPr>
        <w:t>.</w:t>
      </w:r>
      <w:proofErr w:type="gramEnd"/>
      <w:r w:rsidRPr="002120F5">
        <w:rPr>
          <w:b w:val="0"/>
        </w:rPr>
        <w:t xml:space="preserve"> EISA</w:t>
      </w:r>
      <w:r w:rsidR="00501657" w:rsidRPr="002120F5">
        <w:rPr>
          <w:b w:val="0"/>
        </w:rPr>
        <w:t xml:space="preserve"> and AB1109</w:t>
      </w:r>
      <w:r w:rsidRPr="002120F5">
        <w:rPr>
          <w:b w:val="0"/>
        </w:rPr>
        <w:t xml:space="preserve"> General Service Lamp Requirements</w:t>
      </w: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68"/>
        <w:gridCol w:w="2880"/>
        <w:gridCol w:w="1440"/>
        <w:gridCol w:w="1890"/>
        <w:gridCol w:w="1890"/>
      </w:tblGrid>
      <w:tr w:rsidR="00650D56" w14:paraId="2301738A" w14:textId="16B9132B" w:rsidTr="00465C6B">
        <w:trPr>
          <w:cantSplit/>
        </w:trPr>
        <w:tc>
          <w:tcPr>
            <w:tcW w:w="1368" w:type="dxa"/>
            <w:vAlign w:val="center"/>
          </w:tcPr>
          <w:p w14:paraId="27579C5D" w14:textId="1CAF3477" w:rsidR="00650D56" w:rsidRDefault="00650D56" w:rsidP="00C237A6">
            <w:pPr>
              <w:pStyle w:val="columntitle"/>
              <w:keepNext/>
              <w:ind w:firstLine="0"/>
            </w:pPr>
            <w:r>
              <w:t>Original Wattage</w:t>
            </w:r>
          </w:p>
        </w:tc>
        <w:tc>
          <w:tcPr>
            <w:tcW w:w="2880" w:type="dxa"/>
            <w:vAlign w:val="center"/>
          </w:tcPr>
          <w:p w14:paraId="671653C1" w14:textId="77777777" w:rsidR="00650D56" w:rsidRDefault="00650D56" w:rsidP="00C237A6">
            <w:pPr>
              <w:pStyle w:val="columntitle"/>
              <w:keepNext/>
              <w:ind w:firstLine="0"/>
            </w:pPr>
            <w:r>
              <w:t>Rated Lumen Ranges</w:t>
            </w:r>
          </w:p>
        </w:tc>
        <w:tc>
          <w:tcPr>
            <w:tcW w:w="1440" w:type="dxa"/>
            <w:vAlign w:val="center"/>
          </w:tcPr>
          <w:p w14:paraId="5E980740" w14:textId="5DDC1A96" w:rsidR="00650D56" w:rsidRDefault="00650D56" w:rsidP="00C237A6">
            <w:pPr>
              <w:pStyle w:val="columntitle"/>
              <w:keepNext/>
              <w:ind w:firstLine="0"/>
            </w:pPr>
            <w:r>
              <w:t>Maximum Rated Wattage</w:t>
            </w:r>
          </w:p>
        </w:tc>
        <w:tc>
          <w:tcPr>
            <w:tcW w:w="1890" w:type="dxa"/>
            <w:vAlign w:val="center"/>
          </w:tcPr>
          <w:p w14:paraId="05A4EC14" w14:textId="6DDC36F3" w:rsidR="00650D56" w:rsidRDefault="00650D56" w:rsidP="00C237A6">
            <w:pPr>
              <w:pStyle w:val="columntitle"/>
              <w:keepNext/>
              <w:ind w:firstLine="0"/>
            </w:pPr>
            <w:r>
              <w:t>EISA Effective Date (Manufactured On or After)</w:t>
            </w:r>
          </w:p>
        </w:tc>
        <w:tc>
          <w:tcPr>
            <w:tcW w:w="1890" w:type="dxa"/>
            <w:vAlign w:val="center"/>
          </w:tcPr>
          <w:p w14:paraId="620D9AD4" w14:textId="1EBD3D70" w:rsidR="00650D56" w:rsidRDefault="00650D56" w:rsidP="00C237A6">
            <w:pPr>
              <w:pStyle w:val="columntitle"/>
              <w:keepNext/>
              <w:ind w:firstLine="0"/>
            </w:pPr>
            <w:r>
              <w:t>AB 1109 Effective Date (Manufactured On or After)</w:t>
            </w:r>
          </w:p>
        </w:tc>
      </w:tr>
      <w:tr w:rsidR="00650D56" w14:paraId="76D742D5" w14:textId="73D09F19" w:rsidTr="00465C6B">
        <w:trPr>
          <w:cantSplit/>
          <w:trHeight w:val="314"/>
        </w:trPr>
        <w:tc>
          <w:tcPr>
            <w:tcW w:w="1368" w:type="dxa"/>
            <w:vAlign w:val="center"/>
          </w:tcPr>
          <w:p w14:paraId="09BA386C" w14:textId="77777777" w:rsidR="00650D56" w:rsidRPr="001E2E04" w:rsidRDefault="00650D56" w:rsidP="00465C6B">
            <w:pPr>
              <w:pStyle w:val="tabletext"/>
              <w:keepNext/>
              <w:ind w:firstLine="0"/>
              <w:jc w:val="center"/>
            </w:pPr>
            <w:r>
              <w:t>100</w:t>
            </w:r>
          </w:p>
        </w:tc>
        <w:tc>
          <w:tcPr>
            <w:tcW w:w="2880" w:type="dxa"/>
            <w:vAlign w:val="center"/>
          </w:tcPr>
          <w:p w14:paraId="48133F0E" w14:textId="69DC107D" w:rsidR="00650D56" w:rsidRPr="006C01E8" w:rsidRDefault="00650D56" w:rsidP="00C237A6">
            <w:pPr>
              <w:pStyle w:val="tabletext"/>
              <w:keepNext/>
              <w:ind w:firstLine="0"/>
              <w:jc w:val="center"/>
            </w:pPr>
            <w:r>
              <w:t>1</w:t>
            </w:r>
            <w:r w:rsidRPr="006C01E8">
              <w:t>490 – 2600</w:t>
            </w:r>
            <w:r>
              <w:t xml:space="preserve"> </w:t>
            </w:r>
            <w:r w:rsidR="00465C6B">
              <w:br/>
            </w:r>
            <w:r>
              <w:t>(High Brightness)</w:t>
            </w:r>
          </w:p>
        </w:tc>
        <w:tc>
          <w:tcPr>
            <w:tcW w:w="1440" w:type="dxa"/>
            <w:vAlign w:val="center"/>
          </w:tcPr>
          <w:p w14:paraId="2566E24A" w14:textId="511546C0" w:rsidR="00650D56" w:rsidRPr="001E2E04" w:rsidRDefault="00650D56" w:rsidP="00C237A6">
            <w:pPr>
              <w:pStyle w:val="tabletext"/>
              <w:keepNext/>
              <w:ind w:firstLine="0"/>
              <w:jc w:val="center"/>
            </w:pPr>
            <w:r>
              <w:t>72</w:t>
            </w:r>
          </w:p>
        </w:tc>
        <w:tc>
          <w:tcPr>
            <w:tcW w:w="1890" w:type="dxa"/>
            <w:vAlign w:val="center"/>
          </w:tcPr>
          <w:p w14:paraId="6FB7BCEA" w14:textId="77777777" w:rsidR="00650D56" w:rsidRDefault="00650D56" w:rsidP="00C237A6">
            <w:pPr>
              <w:pStyle w:val="tabletext"/>
              <w:keepNext/>
              <w:ind w:firstLine="0"/>
              <w:jc w:val="center"/>
            </w:pPr>
            <w:r>
              <w:t>January 1, 2012</w:t>
            </w:r>
          </w:p>
        </w:tc>
        <w:tc>
          <w:tcPr>
            <w:tcW w:w="1890" w:type="dxa"/>
            <w:vAlign w:val="center"/>
          </w:tcPr>
          <w:p w14:paraId="07A14E73" w14:textId="354FBA12" w:rsidR="00650D56" w:rsidRDefault="00650D56" w:rsidP="00650D56">
            <w:pPr>
              <w:pStyle w:val="tabletext"/>
              <w:keepNext/>
              <w:ind w:firstLine="0"/>
              <w:jc w:val="center"/>
            </w:pPr>
            <w:r>
              <w:t>January 1, 2011</w:t>
            </w:r>
          </w:p>
        </w:tc>
      </w:tr>
      <w:tr w:rsidR="00650D56" w14:paraId="4A23E66D" w14:textId="021B97AB" w:rsidTr="00465C6B">
        <w:trPr>
          <w:cantSplit/>
          <w:trHeight w:val="314"/>
        </w:trPr>
        <w:tc>
          <w:tcPr>
            <w:tcW w:w="1368" w:type="dxa"/>
            <w:vAlign w:val="center"/>
          </w:tcPr>
          <w:p w14:paraId="3B2BDFE3" w14:textId="77777777" w:rsidR="00650D56" w:rsidRDefault="00650D56" w:rsidP="00465C6B">
            <w:pPr>
              <w:pStyle w:val="tabletext"/>
              <w:keepNext/>
              <w:ind w:firstLine="0"/>
              <w:jc w:val="center"/>
            </w:pPr>
            <w:r>
              <w:t>75</w:t>
            </w:r>
          </w:p>
        </w:tc>
        <w:tc>
          <w:tcPr>
            <w:tcW w:w="2880" w:type="dxa"/>
            <w:vAlign w:val="center"/>
          </w:tcPr>
          <w:p w14:paraId="1D38E0B5" w14:textId="27CBE1A1" w:rsidR="00650D56" w:rsidRPr="006C01E8" w:rsidRDefault="00650D56" w:rsidP="00C237A6">
            <w:pPr>
              <w:pStyle w:val="tabletext"/>
              <w:keepNext/>
              <w:ind w:firstLine="0"/>
              <w:jc w:val="center"/>
            </w:pPr>
            <w:r w:rsidRPr="006C01E8">
              <w:t>1050 – 1489</w:t>
            </w:r>
            <w:r>
              <w:t xml:space="preserve"> </w:t>
            </w:r>
            <w:r>
              <w:br/>
              <w:t>(Medium-High Brightness)</w:t>
            </w:r>
          </w:p>
        </w:tc>
        <w:tc>
          <w:tcPr>
            <w:tcW w:w="1440" w:type="dxa"/>
            <w:vAlign w:val="center"/>
          </w:tcPr>
          <w:p w14:paraId="2A11400B" w14:textId="40F8D79D" w:rsidR="00650D56" w:rsidRDefault="00650D56" w:rsidP="00C237A6">
            <w:pPr>
              <w:pStyle w:val="tabletext"/>
              <w:keepNext/>
              <w:ind w:firstLine="0"/>
              <w:jc w:val="center"/>
            </w:pPr>
            <w:r>
              <w:t>53</w:t>
            </w:r>
          </w:p>
        </w:tc>
        <w:tc>
          <w:tcPr>
            <w:tcW w:w="1890" w:type="dxa"/>
            <w:vAlign w:val="center"/>
          </w:tcPr>
          <w:p w14:paraId="19361081" w14:textId="77777777" w:rsidR="00650D56" w:rsidRDefault="00650D56" w:rsidP="00C237A6">
            <w:pPr>
              <w:pStyle w:val="tabletext"/>
              <w:keepNext/>
              <w:ind w:firstLine="0"/>
              <w:jc w:val="center"/>
            </w:pPr>
            <w:r>
              <w:t>January 1, 2013</w:t>
            </w:r>
          </w:p>
        </w:tc>
        <w:tc>
          <w:tcPr>
            <w:tcW w:w="1890" w:type="dxa"/>
            <w:vAlign w:val="center"/>
          </w:tcPr>
          <w:p w14:paraId="2CC0BF62" w14:textId="708A66F4" w:rsidR="00650D56" w:rsidRDefault="00650D56" w:rsidP="00C237A6">
            <w:pPr>
              <w:pStyle w:val="tabletext"/>
              <w:keepNext/>
              <w:ind w:firstLine="0"/>
              <w:jc w:val="center"/>
            </w:pPr>
            <w:r>
              <w:t>January 1, 2012</w:t>
            </w:r>
          </w:p>
        </w:tc>
      </w:tr>
      <w:tr w:rsidR="00650D56" w14:paraId="2589F5C8" w14:textId="58D6C620" w:rsidTr="00465C6B">
        <w:trPr>
          <w:cantSplit/>
          <w:trHeight w:val="314"/>
        </w:trPr>
        <w:tc>
          <w:tcPr>
            <w:tcW w:w="1368" w:type="dxa"/>
            <w:vAlign w:val="center"/>
          </w:tcPr>
          <w:p w14:paraId="5E4BBAF6" w14:textId="77777777" w:rsidR="00650D56" w:rsidRDefault="00650D56" w:rsidP="00465C6B">
            <w:pPr>
              <w:pStyle w:val="tabletext"/>
              <w:keepNext/>
              <w:ind w:firstLine="0"/>
              <w:jc w:val="center"/>
            </w:pPr>
            <w:r>
              <w:t>60</w:t>
            </w:r>
          </w:p>
        </w:tc>
        <w:tc>
          <w:tcPr>
            <w:tcW w:w="2880" w:type="dxa"/>
            <w:vAlign w:val="center"/>
          </w:tcPr>
          <w:p w14:paraId="1A5067A1" w14:textId="539BAE43" w:rsidR="00650D56" w:rsidRPr="006C01E8" w:rsidRDefault="00650D56" w:rsidP="00650D56">
            <w:pPr>
              <w:pStyle w:val="tabletext"/>
              <w:keepNext/>
              <w:ind w:firstLine="0"/>
              <w:jc w:val="center"/>
            </w:pPr>
            <w:r w:rsidRPr="006C01E8">
              <w:t>750 – 1049</w:t>
            </w:r>
            <w:r>
              <w:t xml:space="preserve"> </w:t>
            </w:r>
            <w:r>
              <w:br/>
              <w:t>(Medium-Low Brightness)</w:t>
            </w:r>
          </w:p>
        </w:tc>
        <w:tc>
          <w:tcPr>
            <w:tcW w:w="1440" w:type="dxa"/>
            <w:vAlign w:val="center"/>
          </w:tcPr>
          <w:p w14:paraId="19A4536C" w14:textId="7D90B6C6" w:rsidR="00650D56" w:rsidRDefault="00650D56" w:rsidP="00C237A6">
            <w:pPr>
              <w:pStyle w:val="tabletext"/>
              <w:keepNext/>
              <w:ind w:firstLine="0"/>
              <w:jc w:val="center"/>
            </w:pPr>
            <w:r>
              <w:t>43</w:t>
            </w:r>
          </w:p>
        </w:tc>
        <w:tc>
          <w:tcPr>
            <w:tcW w:w="1890" w:type="dxa"/>
            <w:vAlign w:val="center"/>
          </w:tcPr>
          <w:p w14:paraId="20A643F6" w14:textId="77777777" w:rsidR="00650D56" w:rsidRDefault="00650D56" w:rsidP="00C237A6">
            <w:pPr>
              <w:pStyle w:val="tabletext"/>
              <w:keepNext/>
              <w:ind w:firstLine="0"/>
              <w:jc w:val="center"/>
            </w:pPr>
            <w:r>
              <w:t>January 1, 2014</w:t>
            </w:r>
          </w:p>
        </w:tc>
        <w:tc>
          <w:tcPr>
            <w:tcW w:w="1890" w:type="dxa"/>
            <w:vAlign w:val="center"/>
          </w:tcPr>
          <w:p w14:paraId="77698F49" w14:textId="44B86DE3" w:rsidR="00650D56" w:rsidRDefault="00650D56" w:rsidP="00C237A6">
            <w:pPr>
              <w:pStyle w:val="tabletext"/>
              <w:keepNext/>
              <w:ind w:firstLine="0"/>
              <w:jc w:val="center"/>
            </w:pPr>
            <w:r>
              <w:t>January 1, 2013</w:t>
            </w:r>
          </w:p>
        </w:tc>
      </w:tr>
      <w:tr w:rsidR="00650D56" w14:paraId="3F857CB8" w14:textId="19F1CC9D" w:rsidTr="00465C6B">
        <w:trPr>
          <w:cantSplit/>
          <w:trHeight w:val="314"/>
        </w:trPr>
        <w:tc>
          <w:tcPr>
            <w:tcW w:w="1368" w:type="dxa"/>
            <w:vAlign w:val="center"/>
          </w:tcPr>
          <w:p w14:paraId="38A6C316" w14:textId="77777777" w:rsidR="00650D56" w:rsidRDefault="00650D56" w:rsidP="00465C6B">
            <w:pPr>
              <w:pStyle w:val="tabletext"/>
              <w:keepNext/>
              <w:ind w:firstLine="0"/>
              <w:jc w:val="center"/>
            </w:pPr>
            <w:r>
              <w:t>40</w:t>
            </w:r>
          </w:p>
        </w:tc>
        <w:tc>
          <w:tcPr>
            <w:tcW w:w="2880" w:type="dxa"/>
            <w:vAlign w:val="center"/>
          </w:tcPr>
          <w:p w14:paraId="7096FD21" w14:textId="3A717B5B" w:rsidR="00650D56" w:rsidRPr="006C01E8" w:rsidRDefault="00650D56" w:rsidP="00650D56">
            <w:pPr>
              <w:pStyle w:val="tabletext"/>
              <w:keepNext/>
              <w:ind w:firstLine="0"/>
              <w:jc w:val="center"/>
            </w:pPr>
            <w:r w:rsidRPr="006C01E8">
              <w:t>310 – 749</w:t>
            </w:r>
            <w:r>
              <w:t xml:space="preserve"> </w:t>
            </w:r>
            <w:r w:rsidR="00465C6B">
              <w:br/>
            </w:r>
            <w:r>
              <w:t>(Low Brightness)</w:t>
            </w:r>
          </w:p>
        </w:tc>
        <w:tc>
          <w:tcPr>
            <w:tcW w:w="1440" w:type="dxa"/>
            <w:vAlign w:val="center"/>
          </w:tcPr>
          <w:p w14:paraId="6B79C888" w14:textId="0331AD78" w:rsidR="00650D56" w:rsidRDefault="00650D56" w:rsidP="00C237A6">
            <w:pPr>
              <w:pStyle w:val="tabletext"/>
              <w:keepNext/>
              <w:ind w:firstLine="0"/>
              <w:jc w:val="center"/>
            </w:pPr>
            <w:r>
              <w:t>29</w:t>
            </w:r>
          </w:p>
        </w:tc>
        <w:tc>
          <w:tcPr>
            <w:tcW w:w="1890" w:type="dxa"/>
            <w:vAlign w:val="center"/>
          </w:tcPr>
          <w:p w14:paraId="6B6C9463" w14:textId="77777777" w:rsidR="00650D56" w:rsidRDefault="00650D56" w:rsidP="00C237A6">
            <w:pPr>
              <w:pStyle w:val="tabletext"/>
              <w:keepNext/>
              <w:ind w:firstLine="0"/>
              <w:jc w:val="center"/>
            </w:pPr>
            <w:r>
              <w:t>January 1, 2014</w:t>
            </w:r>
          </w:p>
        </w:tc>
        <w:tc>
          <w:tcPr>
            <w:tcW w:w="1890" w:type="dxa"/>
            <w:vAlign w:val="center"/>
          </w:tcPr>
          <w:p w14:paraId="61E38278" w14:textId="38A729E5" w:rsidR="00650D56" w:rsidRDefault="00650D56" w:rsidP="00C237A6">
            <w:pPr>
              <w:pStyle w:val="tabletext"/>
              <w:keepNext/>
              <w:ind w:firstLine="0"/>
              <w:jc w:val="center"/>
            </w:pPr>
            <w:r>
              <w:t>January 1, 2013</w:t>
            </w:r>
          </w:p>
        </w:tc>
      </w:tr>
    </w:tbl>
    <w:p w14:paraId="7F0E8844" w14:textId="52246C66" w:rsidR="001738DF" w:rsidRDefault="001738DF" w:rsidP="00FD22C5">
      <w:pPr>
        <w:pStyle w:val="tablenotes"/>
        <w:ind w:firstLine="0"/>
      </w:pPr>
      <w:r w:rsidRPr="00D85C28">
        <w:rPr>
          <w:i/>
        </w:rPr>
        <w:t>EISA 2007</w:t>
      </w:r>
      <w:r w:rsidR="00650D56" w:rsidRPr="00D85C28">
        <w:rPr>
          <w:i/>
        </w:rPr>
        <w:t>; AB 1109</w:t>
      </w:r>
      <w:r w:rsidR="00B22251">
        <w:rPr>
          <w:i/>
        </w:rPr>
        <w:t xml:space="preserve"> 2007</w:t>
      </w:r>
    </w:p>
    <w:p w14:paraId="772433AE" w14:textId="77777777" w:rsidR="001738DF" w:rsidRDefault="001738DF" w:rsidP="000D3810">
      <w:pPr>
        <w:jc w:val="left"/>
      </w:pPr>
    </w:p>
    <w:p w14:paraId="42DFA368" w14:textId="77777777" w:rsidR="001738DF" w:rsidRDefault="001738DF" w:rsidP="001C0578">
      <w:pPr>
        <w:pStyle w:val="Heading1"/>
        <w:jc w:val="left"/>
      </w:pPr>
      <w:r>
        <w:t>Study Methodology</w:t>
      </w:r>
    </w:p>
    <w:p w14:paraId="188C96BD" w14:textId="77777777" w:rsidR="001738DF" w:rsidRDefault="001738DF" w:rsidP="001C0578">
      <w:pPr>
        <w:widowControl w:val="0"/>
        <w:jc w:val="left"/>
      </w:pPr>
    </w:p>
    <w:p w14:paraId="647F8ED9" w14:textId="48168F35" w:rsidR="001738DF" w:rsidRDefault="00650180" w:rsidP="001C0578">
      <w:pPr>
        <w:jc w:val="left"/>
      </w:pPr>
      <w:r>
        <w:t xml:space="preserve">This </w:t>
      </w:r>
      <w:r w:rsidR="001738DF">
        <w:t>paper examined recent</w:t>
      </w:r>
      <w:r>
        <w:t xml:space="preserve"> EISA</w:t>
      </w:r>
      <w:r w:rsidR="001738DF">
        <w:t xml:space="preserve"> studies from around the United States</w:t>
      </w:r>
      <w:r w:rsidR="00E61A7E">
        <w:t xml:space="preserve"> and compared </w:t>
      </w:r>
      <w:r>
        <w:t>them</w:t>
      </w:r>
      <w:r w:rsidR="00E61A7E">
        <w:t xml:space="preserve"> </w:t>
      </w:r>
      <w:r w:rsidR="002A3BDE">
        <w:t xml:space="preserve">to </w:t>
      </w:r>
      <w:r w:rsidR="00E61A7E">
        <w:t>similar, ear</w:t>
      </w:r>
      <w:r>
        <w:t>l</w:t>
      </w:r>
      <w:r w:rsidR="002A3BDE">
        <w:t>ier</w:t>
      </w:r>
      <w:r w:rsidR="00E61A7E">
        <w:t xml:space="preserve"> studies conducted between 2010 and 2012. </w:t>
      </w:r>
      <w:r w:rsidR="00C40AA0">
        <w:t xml:space="preserve">We pay particular attention to </w:t>
      </w:r>
      <w:r w:rsidR="001738DF">
        <w:t>California</w:t>
      </w:r>
      <w:r w:rsidR="00C40AA0">
        <w:t xml:space="preserve"> results</w:t>
      </w:r>
      <w:r w:rsidR="00E61A7E">
        <w:t xml:space="preserve">, </w:t>
      </w:r>
      <w:r w:rsidR="00C40AA0">
        <w:t>as</w:t>
      </w:r>
      <w:r w:rsidR="001738DF">
        <w:t xml:space="preserve"> the requirements were enacted one year earlier, and thus </w:t>
      </w:r>
      <w:r w:rsidR="00C50FCA">
        <w:t xml:space="preserve">– although the borders are porous – may </w:t>
      </w:r>
      <w:r w:rsidR="001738DF">
        <w:t>provide a “preview” of how the standards could impact other areas of the country</w:t>
      </w:r>
      <w:r w:rsidR="00E457B9">
        <w:t>.</w:t>
      </w:r>
      <w:r w:rsidR="001A7AB8">
        <w:t xml:space="preserve"> </w:t>
      </w:r>
    </w:p>
    <w:p w14:paraId="02C9C388" w14:textId="42A62A68" w:rsidR="00DC5AFA" w:rsidRDefault="00655EB1" w:rsidP="00AC3620">
      <w:pPr>
        <w:jc w:val="left"/>
      </w:pPr>
      <w:r>
        <w:t>The analysis included a</w:t>
      </w:r>
      <w:r w:rsidR="00366550">
        <w:t xml:space="preserve"> total of </w:t>
      </w:r>
      <w:r w:rsidR="00717CE4">
        <w:t xml:space="preserve">14 </w:t>
      </w:r>
      <w:r w:rsidR="002703EA">
        <w:t>studies</w:t>
      </w:r>
      <w:r>
        <w:t xml:space="preserve">, </w:t>
      </w:r>
      <w:r w:rsidR="00C40AA0">
        <w:t xml:space="preserve">seven </w:t>
      </w:r>
      <w:r w:rsidR="001738DF" w:rsidRPr="002703EA">
        <w:t>studies</w:t>
      </w:r>
      <w:r w:rsidR="00C40AA0">
        <w:t xml:space="preserve"> </w:t>
      </w:r>
      <w:r w:rsidR="00C03659">
        <w:t xml:space="preserve">conducted </w:t>
      </w:r>
      <w:r w:rsidR="00C40AA0">
        <w:t>between 2010 and 2011,</w:t>
      </w:r>
      <w:r w:rsidR="00E61A7E" w:rsidRPr="002703EA">
        <w:t xml:space="preserve"> and </w:t>
      </w:r>
      <w:r w:rsidR="00717CE4">
        <w:t>seven</w:t>
      </w:r>
      <w:r w:rsidR="00C03659">
        <w:t xml:space="preserve"> recent studies, conducted between 2012 and 2013</w:t>
      </w:r>
      <w:r w:rsidR="002703EA" w:rsidRPr="002703EA">
        <w:t>.</w:t>
      </w:r>
      <w:r w:rsidR="001738DF" w:rsidRPr="002703EA">
        <w:t xml:space="preserve"> </w:t>
      </w:r>
      <w:r w:rsidR="00C03659">
        <w:t>The consolidation of these studies allows for an in depth look of expectations and activities prior to and throughout the EISA phase in</w:t>
      </w:r>
      <w:r w:rsidR="00AC3620">
        <w:t xml:space="preserve"> periods.</w:t>
      </w:r>
      <w:r w:rsidR="00C03659">
        <w:t xml:space="preserve"> </w:t>
      </w:r>
      <w:r w:rsidR="008F0141">
        <w:t>This</w:t>
      </w:r>
      <w:r w:rsidR="00DC5AFA">
        <w:t xml:space="preserve"> data </w:t>
      </w:r>
      <w:r w:rsidR="008F0141">
        <w:t xml:space="preserve">shares perspectives of </w:t>
      </w:r>
      <w:r w:rsidR="00DC5AFA">
        <w:t>national manufacturers</w:t>
      </w:r>
      <w:r w:rsidR="008F0141">
        <w:t>,</w:t>
      </w:r>
      <w:r w:rsidR="00C03659">
        <w:t xml:space="preserve"> </w:t>
      </w:r>
      <w:r w:rsidR="00747F05">
        <w:t xml:space="preserve">corporate </w:t>
      </w:r>
      <w:r w:rsidR="00DC5AFA">
        <w:t xml:space="preserve">retailers, retail store managers, and consumers </w:t>
      </w:r>
      <w:r w:rsidR="008F0141">
        <w:t>on the</w:t>
      </w:r>
      <w:r w:rsidR="00FE48C6">
        <w:t xml:space="preserve"> </w:t>
      </w:r>
      <w:r w:rsidR="008F0141">
        <w:t xml:space="preserve">impacts </w:t>
      </w:r>
      <w:r w:rsidR="007A0239">
        <w:t>of</w:t>
      </w:r>
      <w:r w:rsidR="00DC5AFA">
        <w:t xml:space="preserve"> EISA</w:t>
      </w:r>
      <w:r w:rsidR="00FE48C6">
        <w:t xml:space="preserve"> legislation</w:t>
      </w:r>
      <w:r w:rsidR="00AC3620">
        <w:t xml:space="preserve"> (</w:t>
      </w:r>
      <w:r w:rsidR="00AC3620">
        <w:fldChar w:fldCharType="begin"/>
      </w:r>
      <w:r w:rsidR="00AC3620">
        <w:instrText xml:space="preserve"> REF _Ref319851411 \h </w:instrText>
      </w:r>
      <w:r w:rsidR="00AC3620">
        <w:fldChar w:fldCharType="separate"/>
      </w:r>
      <w:r w:rsidR="00AC3620">
        <w:t xml:space="preserve">Table </w:t>
      </w:r>
      <w:r w:rsidR="00AC3620">
        <w:rPr>
          <w:noProof/>
        </w:rPr>
        <w:t>2</w:t>
      </w:r>
      <w:r w:rsidR="00AC3620">
        <w:fldChar w:fldCharType="end"/>
      </w:r>
      <w:r w:rsidR="00AC3620">
        <w:t>)</w:t>
      </w:r>
      <w:r w:rsidR="00DC5AFA">
        <w:t xml:space="preserve">. </w:t>
      </w:r>
      <w:r w:rsidR="00AC3620">
        <w:t xml:space="preserve">Additionally, shelf stocking studies illuminate changes in light bulb availability during this time. </w:t>
      </w:r>
    </w:p>
    <w:p w14:paraId="7ED46E12" w14:textId="77777777" w:rsidR="00DC5AFA" w:rsidRDefault="00DC5AFA" w:rsidP="004C0F9D">
      <w:pPr>
        <w:ind w:firstLine="0"/>
        <w:jc w:val="left"/>
      </w:pPr>
    </w:p>
    <w:p w14:paraId="368F98C8" w14:textId="28D43E53" w:rsidR="001738DF" w:rsidRPr="002120F5" w:rsidRDefault="001738DF" w:rsidP="002120F5">
      <w:pPr>
        <w:pStyle w:val="tabletitle"/>
        <w:keepNext/>
        <w:ind w:firstLine="0"/>
        <w:jc w:val="left"/>
        <w:rPr>
          <w:b w:val="0"/>
        </w:rPr>
      </w:pPr>
      <w:bookmarkStart w:id="1" w:name="_Ref319851411"/>
      <w:proofErr w:type="gramStart"/>
      <w:r w:rsidRPr="002120F5">
        <w:rPr>
          <w:b w:val="0"/>
        </w:rPr>
        <w:lastRenderedPageBreak/>
        <w:t xml:space="preserve">Table </w:t>
      </w:r>
      <w:r w:rsidR="00104659" w:rsidRPr="002120F5">
        <w:rPr>
          <w:b w:val="0"/>
        </w:rPr>
        <w:fldChar w:fldCharType="begin"/>
      </w:r>
      <w:r w:rsidR="00104659" w:rsidRPr="002120F5">
        <w:rPr>
          <w:b w:val="0"/>
        </w:rPr>
        <w:instrText xml:space="preserve"> SEQ Table \* ARABIC </w:instrText>
      </w:r>
      <w:r w:rsidR="00104659" w:rsidRPr="002120F5">
        <w:rPr>
          <w:b w:val="0"/>
        </w:rPr>
        <w:fldChar w:fldCharType="separate"/>
      </w:r>
      <w:r w:rsidR="00892113" w:rsidRPr="002120F5">
        <w:rPr>
          <w:b w:val="0"/>
          <w:noProof/>
        </w:rPr>
        <w:t>2</w:t>
      </w:r>
      <w:r w:rsidR="00104659" w:rsidRPr="002120F5">
        <w:rPr>
          <w:b w:val="0"/>
          <w:noProof/>
        </w:rPr>
        <w:fldChar w:fldCharType="end"/>
      </w:r>
      <w:bookmarkEnd w:id="1"/>
      <w:r w:rsidRPr="002120F5">
        <w:rPr>
          <w:b w:val="0"/>
        </w:rPr>
        <w:t>.</w:t>
      </w:r>
      <w:proofErr w:type="gramEnd"/>
      <w:r w:rsidRPr="002120F5">
        <w:rPr>
          <w:b w:val="0"/>
        </w:rPr>
        <w:t xml:space="preserve"> Data Sources and Activities Included in Current Study </w:t>
      </w: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98"/>
        <w:gridCol w:w="1170"/>
        <w:gridCol w:w="1350"/>
        <w:gridCol w:w="1260"/>
        <w:gridCol w:w="1260"/>
        <w:gridCol w:w="1710"/>
      </w:tblGrid>
      <w:tr w:rsidR="001738DF" w:rsidRPr="002120F5" w14:paraId="77EA46AD" w14:textId="77777777" w:rsidTr="00D85C28">
        <w:trPr>
          <w:cantSplit/>
        </w:trPr>
        <w:tc>
          <w:tcPr>
            <w:tcW w:w="2898" w:type="dxa"/>
            <w:vAlign w:val="center"/>
          </w:tcPr>
          <w:p w14:paraId="3DE50E64" w14:textId="77777777" w:rsidR="001738DF" w:rsidRPr="002120F5" w:rsidRDefault="001738DF" w:rsidP="002120F5">
            <w:pPr>
              <w:pStyle w:val="columntitle"/>
              <w:keepNext/>
              <w:ind w:firstLine="0"/>
              <w:jc w:val="left"/>
              <w:rPr>
                <w:b w:val="0"/>
              </w:rPr>
            </w:pPr>
            <w:r w:rsidRPr="002120F5">
              <w:rPr>
                <w:b w:val="0"/>
              </w:rPr>
              <w:t>Primary Study Sponsor &amp; State</w:t>
            </w:r>
          </w:p>
        </w:tc>
        <w:tc>
          <w:tcPr>
            <w:tcW w:w="1170" w:type="dxa"/>
            <w:vAlign w:val="center"/>
          </w:tcPr>
          <w:p w14:paraId="1765F516" w14:textId="77777777" w:rsidR="001738DF" w:rsidRPr="002120F5" w:rsidRDefault="001738DF" w:rsidP="002120F5">
            <w:pPr>
              <w:pStyle w:val="columntitle"/>
              <w:keepNext/>
              <w:ind w:firstLine="0"/>
              <w:jc w:val="left"/>
              <w:rPr>
                <w:b w:val="0"/>
              </w:rPr>
            </w:pPr>
            <w:r w:rsidRPr="002120F5">
              <w:rPr>
                <w:b w:val="0"/>
              </w:rPr>
              <w:t>Year Conducted</w:t>
            </w:r>
          </w:p>
        </w:tc>
        <w:tc>
          <w:tcPr>
            <w:tcW w:w="1350" w:type="dxa"/>
            <w:vAlign w:val="center"/>
          </w:tcPr>
          <w:p w14:paraId="3D780FE7" w14:textId="77777777" w:rsidR="001738DF" w:rsidRPr="002120F5" w:rsidRDefault="001738DF" w:rsidP="002120F5">
            <w:pPr>
              <w:pStyle w:val="columntitle"/>
              <w:keepNext/>
              <w:ind w:firstLine="0"/>
              <w:jc w:val="left"/>
              <w:rPr>
                <w:b w:val="0"/>
              </w:rPr>
            </w:pPr>
            <w:r w:rsidRPr="002120F5">
              <w:rPr>
                <w:b w:val="0"/>
              </w:rPr>
              <w:t>Manufacturer Interviews</w:t>
            </w:r>
          </w:p>
        </w:tc>
        <w:tc>
          <w:tcPr>
            <w:tcW w:w="1260" w:type="dxa"/>
            <w:vAlign w:val="center"/>
          </w:tcPr>
          <w:p w14:paraId="4206F2A0" w14:textId="49CF17E3" w:rsidR="001738DF" w:rsidRPr="002120F5" w:rsidRDefault="001738DF" w:rsidP="002120F5">
            <w:pPr>
              <w:pStyle w:val="columntitle"/>
              <w:keepNext/>
              <w:ind w:firstLine="0"/>
              <w:jc w:val="left"/>
              <w:rPr>
                <w:b w:val="0"/>
              </w:rPr>
            </w:pPr>
            <w:r w:rsidRPr="002120F5">
              <w:rPr>
                <w:b w:val="0"/>
              </w:rPr>
              <w:t>Retailer</w:t>
            </w:r>
            <w:r w:rsidR="00BC2BD0" w:rsidRPr="002120F5">
              <w:rPr>
                <w:b w:val="0"/>
              </w:rPr>
              <w:t>/</w:t>
            </w:r>
            <w:r w:rsidR="00274875" w:rsidRPr="002120F5">
              <w:rPr>
                <w:b w:val="0"/>
              </w:rPr>
              <w:t xml:space="preserve"> </w:t>
            </w:r>
            <w:r w:rsidR="00BC2BD0" w:rsidRPr="002120F5">
              <w:rPr>
                <w:b w:val="0"/>
              </w:rPr>
              <w:t>Distributor</w:t>
            </w:r>
            <w:r w:rsidRPr="002120F5">
              <w:rPr>
                <w:b w:val="0"/>
              </w:rPr>
              <w:t xml:space="preserve"> Interviews</w:t>
            </w:r>
          </w:p>
        </w:tc>
        <w:tc>
          <w:tcPr>
            <w:tcW w:w="1260" w:type="dxa"/>
          </w:tcPr>
          <w:p w14:paraId="1F96B892" w14:textId="7BB5A5EE" w:rsidR="001738DF" w:rsidRPr="002120F5" w:rsidRDefault="001738DF" w:rsidP="002120F5">
            <w:pPr>
              <w:pStyle w:val="columntitle"/>
              <w:keepNext/>
              <w:ind w:firstLine="0"/>
              <w:jc w:val="left"/>
              <w:rPr>
                <w:b w:val="0"/>
              </w:rPr>
            </w:pPr>
            <w:r w:rsidRPr="002120F5">
              <w:rPr>
                <w:b w:val="0"/>
              </w:rPr>
              <w:t xml:space="preserve">Consumer </w:t>
            </w:r>
            <w:r w:rsidR="00717CE4" w:rsidRPr="002120F5">
              <w:rPr>
                <w:b w:val="0"/>
              </w:rPr>
              <w:t>Surveys</w:t>
            </w:r>
          </w:p>
        </w:tc>
        <w:tc>
          <w:tcPr>
            <w:tcW w:w="1710" w:type="dxa"/>
            <w:vAlign w:val="center"/>
          </w:tcPr>
          <w:p w14:paraId="743387B6" w14:textId="77777777" w:rsidR="001738DF" w:rsidRPr="002120F5" w:rsidRDefault="001738DF" w:rsidP="002120F5">
            <w:pPr>
              <w:pStyle w:val="columntitle"/>
              <w:keepNext/>
              <w:ind w:firstLine="0"/>
              <w:jc w:val="left"/>
              <w:rPr>
                <w:b w:val="0"/>
              </w:rPr>
            </w:pPr>
            <w:r w:rsidRPr="002120F5">
              <w:rPr>
                <w:b w:val="0"/>
              </w:rPr>
              <w:t xml:space="preserve">Other </w:t>
            </w:r>
            <w:r w:rsidR="00267DD1" w:rsidRPr="002120F5">
              <w:rPr>
                <w:b w:val="0"/>
              </w:rPr>
              <w:t xml:space="preserve">Relevant </w:t>
            </w:r>
            <w:r w:rsidRPr="002120F5">
              <w:rPr>
                <w:b w:val="0"/>
              </w:rPr>
              <w:t>Activities</w:t>
            </w:r>
          </w:p>
        </w:tc>
      </w:tr>
      <w:tr w:rsidR="001738DF" w14:paraId="71AB167B" w14:textId="77777777" w:rsidTr="00D85C28">
        <w:trPr>
          <w:cantSplit/>
          <w:trHeight w:val="314"/>
        </w:trPr>
        <w:tc>
          <w:tcPr>
            <w:tcW w:w="2898" w:type="dxa"/>
            <w:vAlign w:val="center"/>
          </w:tcPr>
          <w:p w14:paraId="71A65AE6" w14:textId="02AB869D" w:rsidR="001738DF" w:rsidRPr="001E2E04" w:rsidRDefault="001738DF" w:rsidP="00091C34">
            <w:pPr>
              <w:pStyle w:val="tabletext"/>
              <w:keepNext/>
              <w:tabs>
                <w:tab w:val="left" w:pos="1440"/>
              </w:tabs>
              <w:ind w:right="702" w:firstLine="0"/>
            </w:pPr>
            <w:r>
              <w:t>Massachusetts</w:t>
            </w:r>
            <w:r w:rsidR="00F216A1">
              <w:t xml:space="preserve"> Consortium</w:t>
            </w:r>
          </w:p>
        </w:tc>
        <w:tc>
          <w:tcPr>
            <w:tcW w:w="1170" w:type="dxa"/>
            <w:vAlign w:val="center"/>
          </w:tcPr>
          <w:p w14:paraId="15FA13BB" w14:textId="77777777" w:rsidR="001738DF" w:rsidRPr="006C01E8" w:rsidRDefault="001738DF" w:rsidP="004860DB">
            <w:pPr>
              <w:pStyle w:val="tabletext"/>
              <w:keepNext/>
              <w:ind w:firstLine="0"/>
              <w:jc w:val="center"/>
            </w:pPr>
            <w:r>
              <w:t>2010</w:t>
            </w:r>
          </w:p>
        </w:tc>
        <w:tc>
          <w:tcPr>
            <w:tcW w:w="1350" w:type="dxa"/>
            <w:vAlign w:val="center"/>
          </w:tcPr>
          <w:p w14:paraId="35D3AF3F" w14:textId="77777777" w:rsidR="001738DF" w:rsidRPr="001E2E04" w:rsidRDefault="003E27A8" w:rsidP="00D33693">
            <w:pPr>
              <w:pStyle w:val="tabletext"/>
              <w:keepNext/>
              <w:ind w:firstLine="0"/>
              <w:jc w:val="center"/>
            </w:pPr>
            <w:r>
              <w:t>11</w:t>
            </w:r>
          </w:p>
        </w:tc>
        <w:tc>
          <w:tcPr>
            <w:tcW w:w="1260" w:type="dxa"/>
            <w:vAlign w:val="center"/>
          </w:tcPr>
          <w:p w14:paraId="14F6D436" w14:textId="0957DEC6" w:rsidR="001738DF" w:rsidRDefault="00190F67" w:rsidP="00D33693">
            <w:pPr>
              <w:pStyle w:val="tabletext"/>
              <w:keepNext/>
              <w:ind w:firstLine="0"/>
              <w:jc w:val="center"/>
            </w:pPr>
            <w:r>
              <w:t>1</w:t>
            </w:r>
            <w:r w:rsidR="00E9353E">
              <w:t>90</w:t>
            </w:r>
          </w:p>
        </w:tc>
        <w:tc>
          <w:tcPr>
            <w:tcW w:w="1260" w:type="dxa"/>
            <w:vAlign w:val="center"/>
          </w:tcPr>
          <w:p w14:paraId="5C37EAAA" w14:textId="77777777" w:rsidR="001738DF" w:rsidRDefault="00D33693" w:rsidP="00D33693">
            <w:pPr>
              <w:pStyle w:val="tabletext"/>
              <w:keepNext/>
              <w:ind w:firstLine="0"/>
              <w:jc w:val="center"/>
            </w:pPr>
            <w:r>
              <w:t>503</w:t>
            </w:r>
          </w:p>
        </w:tc>
        <w:tc>
          <w:tcPr>
            <w:tcW w:w="1710" w:type="dxa"/>
            <w:vAlign w:val="center"/>
          </w:tcPr>
          <w:p w14:paraId="68326DCC" w14:textId="77777777" w:rsidR="001738DF" w:rsidRDefault="00267DD1" w:rsidP="004860DB">
            <w:pPr>
              <w:pStyle w:val="tabletext"/>
              <w:keepNext/>
              <w:ind w:firstLine="0"/>
              <w:jc w:val="center"/>
            </w:pPr>
            <w:r>
              <w:t>Shelf Stocking</w:t>
            </w:r>
          </w:p>
        </w:tc>
      </w:tr>
      <w:tr w:rsidR="004F7C4C" w14:paraId="1D8C67EF" w14:textId="77777777" w:rsidTr="00D85C28">
        <w:trPr>
          <w:cantSplit/>
          <w:trHeight w:val="314"/>
        </w:trPr>
        <w:tc>
          <w:tcPr>
            <w:tcW w:w="2898" w:type="dxa"/>
            <w:vAlign w:val="center"/>
          </w:tcPr>
          <w:p w14:paraId="16D9678F" w14:textId="2E7C0362" w:rsidR="004F7C4C" w:rsidRDefault="004F7C4C" w:rsidP="00091C34">
            <w:pPr>
              <w:pStyle w:val="tabletext"/>
              <w:keepNext/>
              <w:tabs>
                <w:tab w:val="left" w:pos="1440"/>
              </w:tabs>
              <w:ind w:right="702" w:firstLine="0"/>
            </w:pPr>
            <w:r>
              <w:t>Massachusetts Consortium</w:t>
            </w:r>
          </w:p>
        </w:tc>
        <w:tc>
          <w:tcPr>
            <w:tcW w:w="1170" w:type="dxa"/>
            <w:vAlign w:val="center"/>
          </w:tcPr>
          <w:p w14:paraId="2D6686CF" w14:textId="294C1E74" w:rsidR="004F7C4C" w:rsidRDefault="004F7C4C" w:rsidP="004860DB">
            <w:pPr>
              <w:pStyle w:val="tabletext"/>
              <w:keepNext/>
              <w:ind w:firstLine="0"/>
              <w:jc w:val="center"/>
            </w:pPr>
            <w:r>
              <w:t>2011-2013</w:t>
            </w:r>
          </w:p>
        </w:tc>
        <w:tc>
          <w:tcPr>
            <w:tcW w:w="1350" w:type="dxa"/>
            <w:vAlign w:val="center"/>
          </w:tcPr>
          <w:p w14:paraId="514E6CF8" w14:textId="32C9C882" w:rsidR="004F7C4C" w:rsidRDefault="00717CE4" w:rsidP="00D33693">
            <w:pPr>
              <w:pStyle w:val="tabletext"/>
              <w:keepNext/>
              <w:ind w:firstLine="0"/>
              <w:jc w:val="center"/>
            </w:pPr>
            <w:r>
              <w:t>13</w:t>
            </w:r>
          </w:p>
        </w:tc>
        <w:tc>
          <w:tcPr>
            <w:tcW w:w="1260" w:type="dxa"/>
            <w:vAlign w:val="center"/>
          </w:tcPr>
          <w:p w14:paraId="48B741A8" w14:textId="021DEACA" w:rsidR="004F7C4C" w:rsidRDefault="00717CE4" w:rsidP="00D33693">
            <w:pPr>
              <w:pStyle w:val="tabletext"/>
              <w:keepNext/>
              <w:ind w:firstLine="0"/>
              <w:jc w:val="center"/>
            </w:pPr>
            <w:r>
              <w:t>240</w:t>
            </w:r>
          </w:p>
        </w:tc>
        <w:tc>
          <w:tcPr>
            <w:tcW w:w="1260" w:type="dxa"/>
            <w:vAlign w:val="center"/>
          </w:tcPr>
          <w:p w14:paraId="395EA286" w14:textId="04BA5978" w:rsidR="004F7C4C" w:rsidRDefault="004F7C4C" w:rsidP="00D33693">
            <w:pPr>
              <w:pStyle w:val="tabletext"/>
              <w:keepNext/>
              <w:ind w:firstLine="0"/>
              <w:jc w:val="center"/>
            </w:pPr>
            <w:r>
              <w:t>1</w:t>
            </w:r>
            <w:r w:rsidR="00717CE4">
              <w:t>,</w:t>
            </w:r>
            <w:r>
              <w:t>796</w:t>
            </w:r>
          </w:p>
        </w:tc>
        <w:tc>
          <w:tcPr>
            <w:tcW w:w="1710" w:type="dxa"/>
            <w:vAlign w:val="center"/>
          </w:tcPr>
          <w:p w14:paraId="7E8DB602" w14:textId="7C06FAA0" w:rsidR="004F7C4C" w:rsidRDefault="004F7C4C" w:rsidP="004860DB">
            <w:pPr>
              <w:pStyle w:val="tabletext"/>
              <w:keepNext/>
              <w:ind w:firstLine="0"/>
              <w:jc w:val="center"/>
            </w:pPr>
            <w:r>
              <w:t>Shelf Stocking</w:t>
            </w:r>
            <w:r w:rsidR="00717CE4">
              <w:t>, Lighting Inventories</w:t>
            </w:r>
          </w:p>
        </w:tc>
      </w:tr>
      <w:tr w:rsidR="00190F67" w14:paraId="212DD5E3" w14:textId="77777777" w:rsidTr="00D85C28">
        <w:trPr>
          <w:cantSplit/>
          <w:trHeight w:val="314"/>
        </w:trPr>
        <w:tc>
          <w:tcPr>
            <w:tcW w:w="2898" w:type="dxa"/>
            <w:vAlign w:val="center"/>
          </w:tcPr>
          <w:p w14:paraId="146CA116" w14:textId="6023422D" w:rsidR="00190F67" w:rsidRDefault="00B16F53" w:rsidP="00091C34">
            <w:pPr>
              <w:pStyle w:val="tabletext"/>
              <w:keepNext/>
              <w:tabs>
                <w:tab w:val="left" w:pos="1440"/>
              </w:tabs>
              <w:ind w:right="702" w:firstLine="0"/>
            </w:pPr>
            <w:r>
              <w:t>PacifiCorp Wyoming</w:t>
            </w:r>
          </w:p>
        </w:tc>
        <w:tc>
          <w:tcPr>
            <w:tcW w:w="1170" w:type="dxa"/>
            <w:vAlign w:val="center"/>
          </w:tcPr>
          <w:p w14:paraId="266C7BCC" w14:textId="77777777" w:rsidR="00190F67" w:rsidRPr="006C01E8" w:rsidRDefault="00190F67" w:rsidP="004860DB">
            <w:pPr>
              <w:pStyle w:val="tabletext"/>
              <w:keepNext/>
              <w:ind w:firstLine="0"/>
              <w:jc w:val="center"/>
            </w:pPr>
            <w:r>
              <w:t>2011</w:t>
            </w:r>
          </w:p>
        </w:tc>
        <w:tc>
          <w:tcPr>
            <w:tcW w:w="1350" w:type="dxa"/>
            <w:vAlign w:val="center"/>
          </w:tcPr>
          <w:p w14:paraId="2AD5FA6E" w14:textId="77777777" w:rsidR="00190F67" w:rsidRDefault="00190F67" w:rsidP="00D33693">
            <w:pPr>
              <w:pStyle w:val="tabletext"/>
              <w:keepNext/>
              <w:ind w:firstLine="0"/>
              <w:jc w:val="center"/>
            </w:pPr>
            <w:r>
              <w:t>NA</w:t>
            </w:r>
          </w:p>
        </w:tc>
        <w:tc>
          <w:tcPr>
            <w:tcW w:w="1260" w:type="dxa"/>
            <w:vAlign w:val="center"/>
          </w:tcPr>
          <w:p w14:paraId="6DF52613" w14:textId="77777777" w:rsidR="00190F67" w:rsidRDefault="00190F67" w:rsidP="00D33693">
            <w:pPr>
              <w:pStyle w:val="tabletext"/>
              <w:keepNext/>
              <w:ind w:firstLine="0"/>
              <w:jc w:val="center"/>
            </w:pPr>
            <w:r>
              <w:t>23</w:t>
            </w:r>
          </w:p>
        </w:tc>
        <w:tc>
          <w:tcPr>
            <w:tcW w:w="1260" w:type="dxa"/>
            <w:vAlign w:val="center"/>
          </w:tcPr>
          <w:p w14:paraId="70C2981E" w14:textId="77777777" w:rsidR="00190F67" w:rsidRDefault="00190F67" w:rsidP="00D33693">
            <w:pPr>
              <w:pStyle w:val="tabletext"/>
              <w:keepNext/>
              <w:ind w:firstLine="0"/>
              <w:jc w:val="center"/>
            </w:pPr>
            <w:r>
              <w:t>254</w:t>
            </w:r>
          </w:p>
        </w:tc>
        <w:tc>
          <w:tcPr>
            <w:tcW w:w="1710" w:type="dxa"/>
            <w:vAlign w:val="center"/>
          </w:tcPr>
          <w:p w14:paraId="7452A26B" w14:textId="77777777" w:rsidR="00190F67" w:rsidRDefault="00267DD1" w:rsidP="004860DB">
            <w:pPr>
              <w:pStyle w:val="tabletext"/>
              <w:keepNext/>
              <w:ind w:firstLine="0"/>
              <w:jc w:val="center"/>
            </w:pPr>
            <w:r>
              <w:t>NA</w:t>
            </w:r>
          </w:p>
        </w:tc>
      </w:tr>
      <w:tr w:rsidR="00190F67" w14:paraId="3DD63764" w14:textId="77777777" w:rsidTr="00D85C28">
        <w:trPr>
          <w:cantSplit/>
          <w:trHeight w:val="314"/>
        </w:trPr>
        <w:tc>
          <w:tcPr>
            <w:tcW w:w="2898" w:type="dxa"/>
            <w:vAlign w:val="center"/>
          </w:tcPr>
          <w:p w14:paraId="76733868" w14:textId="1B6906D0" w:rsidR="00190F67" w:rsidRPr="001E2E04" w:rsidRDefault="00B16F53" w:rsidP="004860DB">
            <w:pPr>
              <w:pStyle w:val="tabletext"/>
              <w:keepNext/>
              <w:tabs>
                <w:tab w:val="left" w:pos="1440"/>
              </w:tabs>
              <w:ind w:right="702" w:firstLine="0"/>
            </w:pPr>
            <w:r>
              <w:t>PacifiCorp Washington</w:t>
            </w:r>
          </w:p>
        </w:tc>
        <w:tc>
          <w:tcPr>
            <w:tcW w:w="1170" w:type="dxa"/>
            <w:vAlign w:val="center"/>
          </w:tcPr>
          <w:p w14:paraId="3D47F0E8" w14:textId="77777777" w:rsidR="00190F67" w:rsidRPr="006C01E8" w:rsidRDefault="00190F67" w:rsidP="004860DB">
            <w:pPr>
              <w:pStyle w:val="tabletext"/>
              <w:keepNext/>
              <w:ind w:firstLine="0"/>
              <w:jc w:val="center"/>
            </w:pPr>
            <w:r>
              <w:t>2011</w:t>
            </w:r>
          </w:p>
        </w:tc>
        <w:tc>
          <w:tcPr>
            <w:tcW w:w="1350" w:type="dxa"/>
            <w:vAlign w:val="center"/>
          </w:tcPr>
          <w:p w14:paraId="0BF1C954" w14:textId="77777777" w:rsidR="00190F67" w:rsidRDefault="00190F67" w:rsidP="00D33693">
            <w:pPr>
              <w:pStyle w:val="tabletext"/>
              <w:keepNext/>
              <w:ind w:firstLine="0"/>
              <w:jc w:val="center"/>
            </w:pPr>
            <w:r w:rsidRPr="00F944D1">
              <w:t>NA</w:t>
            </w:r>
          </w:p>
        </w:tc>
        <w:tc>
          <w:tcPr>
            <w:tcW w:w="1260" w:type="dxa"/>
            <w:vAlign w:val="center"/>
          </w:tcPr>
          <w:p w14:paraId="55C55536" w14:textId="77777777" w:rsidR="00190F67" w:rsidRDefault="00190F67" w:rsidP="00D33693">
            <w:pPr>
              <w:pStyle w:val="tabletext"/>
              <w:keepNext/>
              <w:ind w:firstLine="0"/>
              <w:jc w:val="center"/>
            </w:pPr>
            <w:r>
              <w:t>12</w:t>
            </w:r>
          </w:p>
        </w:tc>
        <w:tc>
          <w:tcPr>
            <w:tcW w:w="1260" w:type="dxa"/>
            <w:vAlign w:val="center"/>
          </w:tcPr>
          <w:p w14:paraId="0E62CD37" w14:textId="77777777" w:rsidR="00190F67" w:rsidRDefault="00190F67" w:rsidP="00D33693">
            <w:pPr>
              <w:pStyle w:val="tabletext"/>
              <w:keepNext/>
              <w:ind w:firstLine="0"/>
              <w:jc w:val="center"/>
            </w:pPr>
            <w:r>
              <w:t>251</w:t>
            </w:r>
          </w:p>
        </w:tc>
        <w:tc>
          <w:tcPr>
            <w:tcW w:w="1710" w:type="dxa"/>
            <w:vAlign w:val="center"/>
          </w:tcPr>
          <w:p w14:paraId="7F676D3A" w14:textId="77777777" w:rsidR="00190F67" w:rsidRDefault="00267DD1" w:rsidP="004860DB">
            <w:pPr>
              <w:pStyle w:val="tabletext"/>
              <w:keepNext/>
              <w:ind w:firstLine="0"/>
              <w:jc w:val="center"/>
            </w:pPr>
            <w:r>
              <w:t>NA</w:t>
            </w:r>
          </w:p>
        </w:tc>
      </w:tr>
      <w:tr w:rsidR="00190F67" w14:paraId="0214CB3C" w14:textId="77777777" w:rsidTr="00D85C28">
        <w:trPr>
          <w:cantSplit/>
          <w:trHeight w:val="314"/>
        </w:trPr>
        <w:tc>
          <w:tcPr>
            <w:tcW w:w="2898" w:type="dxa"/>
            <w:vAlign w:val="center"/>
          </w:tcPr>
          <w:p w14:paraId="3C73C20F" w14:textId="72A09558" w:rsidR="00190F67" w:rsidRPr="001E2E04" w:rsidRDefault="00B16F53" w:rsidP="004860DB">
            <w:pPr>
              <w:pStyle w:val="tabletext"/>
              <w:keepNext/>
              <w:tabs>
                <w:tab w:val="left" w:pos="1440"/>
              </w:tabs>
              <w:ind w:right="702" w:firstLine="0"/>
            </w:pPr>
            <w:r>
              <w:t>PacifiCorp Idaho</w:t>
            </w:r>
          </w:p>
        </w:tc>
        <w:tc>
          <w:tcPr>
            <w:tcW w:w="1170" w:type="dxa"/>
            <w:vAlign w:val="center"/>
          </w:tcPr>
          <w:p w14:paraId="3FE89AC8" w14:textId="77777777" w:rsidR="00190F67" w:rsidRPr="006C01E8" w:rsidRDefault="00190F67" w:rsidP="004860DB">
            <w:pPr>
              <w:pStyle w:val="tabletext"/>
              <w:keepNext/>
              <w:ind w:firstLine="0"/>
              <w:jc w:val="center"/>
            </w:pPr>
            <w:r>
              <w:t>2011</w:t>
            </w:r>
          </w:p>
        </w:tc>
        <w:tc>
          <w:tcPr>
            <w:tcW w:w="1350" w:type="dxa"/>
            <w:vAlign w:val="center"/>
          </w:tcPr>
          <w:p w14:paraId="5986C29F" w14:textId="77777777" w:rsidR="00190F67" w:rsidRDefault="00190F67" w:rsidP="00D33693">
            <w:pPr>
              <w:pStyle w:val="tabletext"/>
              <w:keepNext/>
              <w:ind w:firstLine="0"/>
              <w:jc w:val="center"/>
            </w:pPr>
            <w:r w:rsidRPr="00F944D1">
              <w:t>NA</w:t>
            </w:r>
          </w:p>
        </w:tc>
        <w:tc>
          <w:tcPr>
            <w:tcW w:w="1260" w:type="dxa"/>
            <w:vAlign w:val="center"/>
          </w:tcPr>
          <w:p w14:paraId="21E5310B" w14:textId="77777777" w:rsidR="00190F67" w:rsidRDefault="00190F67" w:rsidP="00D33693">
            <w:pPr>
              <w:pStyle w:val="tabletext"/>
              <w:keepNext/>
              <w:ind w:firstLine="0"/>
              <w:jc w:val="center"/>
            </w:pPr>
            <w:r>
              <w:t>7</w:t>
            </w:r>
          </w:p>
        </w:tc>
        <w:tc>
          <w:tcPr>
            <w:tcW w:w="1260" w:type="dxa"/>
            <w:vAlign w:val="center"/>
          </w:tcPr>
          <w:p w14:paraId="70974052" w14:textId="77777777" w:rsidR="00190F67" w:rsidRDefault="00190F67" w:rsidP="00D33693">
            <w:pPr>
              <w:pStyle w:val="tabletext"/>
              <w:keepNext/>
              <w:ind w:firstLine="0"/>
              <w:jc w:val="center"/>
            </w:pPr>
            <w:r>
              <w:t>249</w:t>
            </w:r>
          </w:p>
        </w:tc>
        <w:tc>
          <w:tcPr>
            <w:tcW w:w="1710" w:type="dxa"/>
            <w:vAlign w:val="center"/>
          </w:tcPr>
          <w:p w14:paraId="758B7502" w14:textId="77777777" w:rsidR="00190F67" w:rsidRDefault="00267DD1" w:rsidP="004860DB">
            <w:pPr>
              <w:pStyle w:val="tabletext"/>
              <w:keepNext/>
              <w:ind w:firstLine="0"/>
              <w:jc w:val="center"/>
            </w:pPr>
            <w:r>
              <w:t>NA</w:t>
            </w:r>
          </w:p>
        </w:tc>
      </w:tr>
      <w:tr w:rsidR="00190F67" w14:paraId="6C9510A6" w14:textId="77777777" w:rsidTr="00D85C28">
        <w:trPr>
          <w:cantSplit/>
          <w:trHeight w:val="314"/>
        </w:trPr>
        <w:tc>
          <w:tcPr>
            <w:tcW w:w="2898" w:type="dxa"/>
            <w:vAlign w:val="center"/>
          </w:tcPr>
          <w:p w14:paraId="72C579DC" w14:textId="77FAB3E8" w:rsidR="00190F67" w:rsidRDefault="00B16F53" w:rsidP="00D04B2E">
            <w:pPr>
              <w:pStyle w:val="tabletext"/>
              <w:keepNext/>
              <w:tabs>
                <w:tab w:val="left" w:pos="1440"/>
              </w:tabs>
              <w:ind w:right="702" w:firstLine="0"/>
            </w:pPr>
            <w:r>
              <w:t>PacifiCorp California</w:t>
            </w:r>
            <w:r w:rsidR="00EB4A47">
              <w:t xml:space="preserve"> </w:t>
            </w:r>
          </w:p>
        </w:tc>
        <w:tc>
          <w:tcPr>
            <w:tcW w:w="1170" w:type="dxa"/>
            <w:vAlign w:val="center"/>
          </w:tcPr>
          <w:p w14:paraId="1CE0EE8D" w14:textId="77777777" w:rsidR="00190F67" w:rsidRPr="006C01E8" w:rsidRDefault="00190F67" w:rsidP="004860DB">
            <w:pPr>
              <w:pStyle w:val="tabletext"/>
              <w:keepNext/>
              <w:ind w:firstLine="0"/>
              <w:jc w:val="center"/>
            </w:pPr>
            <w:r>
              <w:t>2011</w:t>
            </w:r>
          </w:p>
        </w:tc>
        <w:tc>
          <w:tcPr>
            <w:tcW w:w="1350" w:type="dxa"/>
            <w:vAlign w:val="center"/>
          </w:tcPr>
          <w:p w14:paraId="7C2C6AEA" w14:textId="77777777" w:rsidR="00190F67" w:rsidRDefault="00190F67" w:rsidP="00D33693">
            <w:pPr>
              <w:pStyle w:val="tabletext"/>
              <w:keepNext/>
              <w:ind w:firstLine="0"/>
              <w:jc w:val="center"/>
            </w:pPr>
            <w:r w:rsidRPr="00F944D1">
              <w:t>NA</w:t>
            </w:r>
          </w:p>
        </w:tc>
        <w:tc>
          <w:tcPr>
            <w:tcW w:w="1260" w:type="dxa"/>
            <w:vAlign w:val="center"/>
          </w:tcPr>
          <w:p w14:paraId="4F0E8F17" w14:textId="77777777" w:rsidR="00190F67" w:rsidRDefault="00190F67" w:rsidP="00D33693">
            <w:pPr>
              <w:pStyle w:val="tabletext"/>
              <w:keepNext/>
              <w:ind w:firstLine="0"/>
              <w:jc w:val="center"/>
            </w:pPr>
            <w:r>
              <w:t>7</w:t>
            </w:r>
          </w:p>
        </w:tc>
        <w:tc>
          <w:tcPr>
            <w:tcW w:w="1260" w:type="dxa"/>
            <w:vAlign w:val="center"/>
          </w:tcPr>
          <w:p w14:paraId="7C943766" w14:textId="77777777" w:rsidR="00190F67" w:rsidRDefault="00190F67" w:rsidP="00D33693">
            <w:pPr>
              <w:pStyle w:val="tabletext"/>
              <w:keepNext/>
              <w:ind w:firstLine="0"/>
              <w:jc w:val="center"/>
            </w:pPr>
            <w:r>
              <w:t>250</w:t>
            </w:r>
          </w:p>
        </w:tc>
        <w:tc>
          <w:tcPr>
            <w:tcW w:w="1710" w:type="dxa"/>
            <w:vAlign w:val="center"/>
          </w:tcPr>
          <w:p w14:paraId="5D1E4049" w14:textId="77777777" w:rsidR="00190F67" w:rsidRDefault="00267DD1" w:rsidP="004860DB">
            <w:pPr>
              <w:pStyle w:val="tabletext"/>
              <w:keepNext/>
              <w:ind w:firstLine="0"/>
              <w:jc w:val="center"/>
            </w:pPr>
            <w:r>
              <w:t>NA</w:t>
            </w:r>
          </w:p>
        </w:tc>
      </w:tr>
      <w:tr w:rsidR="00190F67" w14:paraId="5C4DAE4E" w14:textId="77777777" w:rsidTr="00D85C28">
        <w:trPr>
          <w:cantSplit/>
          <w:trHeight w:val="314"/>
        </w:trPr>
        <w:tc>
          <w:tcPr>
            <w:tcW w:w="2898" w:type="dxa"/>
            <w:vAlign w:val="center"/>
          </w:tcPr>
          <w:p w14:paraId="2DACB23B" w14:textId="1B7E23F0" w:rsidR="00190F67" w:rsidRPr="00184213" w:rsidRDefault="00EB4E5D" w:rsidP="00F216A1">
            <w:pPr>
              <w:pStyle w:val="tabletext"/>
              <w:keepNext/>
              <w:tabs>
                <w:tab w:val="left" w:pos="1440"/>
              </w:tabs>
              <w:ind w:right="702" w:firstLine="0"/>
            </w:pPr>
            <w:r w:rsidRPr="00184213">
              <w:t>Commonwealth Edison</w:t>
            </w:r>
            <w:r w:rsidR="00BA15D7">
              <w:t xml:space="preserve"> - </w:t>
            </w:r>
            <w:proofErr w:type="spellStart"/>
            <w:r w:rsidRPr="00184213">
              <w:t>ComEd</w:t>
            </w:r>
            <w:proofErr w:type="spellEnd"/>
            <w:r w:rsidR="00F216A1">
              <w:t xml:space="preserve"> (</w:t>
            </w:r>
            <w:r w:rsidRPr="00184213">
              <w:t>IL)</w:t>
            </w:r>
          </w:p>
        </w:tc>
        <w:tc>
          <w:tcPr>
            <w:tcW w:w="1170" w:type="dxa"/>
            <w:vAlign w:val="center"/>
          </w:tcPr>
          <w:p w14:paraId="553E5A13" w14:textId="77777777" w:rsidR="00190F67" w:rsidRPr="006C01E8" w:rsidRDefault="00190F67" w:rsidP="004860DB">
            <w:pPr>
              <w:pStyle w:val="tabletext"/>
              <w:keepNext/>
              <w:ind w:firstLine="0"/>
              <w:jc w:val="center"/>
            </w:pPr>
            <w:r>
              <w:t>2011</w:t>
            </w:r>
          </w:p>
        </w:tc>
        <w:tc>
          <w:tcPr>
            <w:tcW w:w="1350" w:type="dxa"/>
            <w:vAlign w:val="center"/>
          </w:tcPr>
          <w:p w14:paraId="5412602B" w14:textId="77777777" w:rsidR="00190F67" w:rsidRDefault="00190F67" w:rsidP="00D33693">
            <w:pPr>
              <w:pStyle w:val="tabletext"/>
              <w:keepNext/>
              <w:ind w:firstLine="0"/>
              <w:jc w:val="center"/>
            </w:pPr>
            <w:r w:rsidRPr="00F944D1">
              <w:t>NA</w:t>
            </w:r>
          </w:p>
        </w:tc>
        <w:tc>
          <w:tcPr>
            <w:tcW w:w="1260" w:type="dxa"/>
            <w:vAlign w:val="center"/>
          </w:tcPr>
          <w:p w14:paraId="60004695" w14:textId="77777777" w:rsidR="00190F67" w:rsidRDefault="00D33693" w:rsidP="00D33693">
            <w:pPr>
              <w:pStyle w:val="tabletext"/>
              <w:keepNext/>
              <w:ind w:firstLine="0"/>
              <w:jc w:val="center"/>
            </w:pPr>
            <w:r>
              <w:t>NA</w:t>
            </w:r>
          </w:p>
        </w:tc>
        <w:tc>
          <w:tcPr>
            <w:tcW w:w="1260" w:type="dxa"/>
            <w:vAlign w:val="center"/>
          </w:tcPr>
          <w:p w14:paraId="05A0B0BA" w14:textId="77777777" w:rsidR="00190F67" w:rsidRDefault="00D33693" w:rsidP="00D33693">
            <w:pPr>
              <w:pStyle w:val="tabletext"/>
              <w:keepNext/>
              <w:ind w:firstLine="0"/>
              <w:jc w:val="center"/>
            </w:pPr>
            <w:r>
              <w:t>400</w:t>
            </w:r>
          </w:p>
        </w:tc>
        <w:tc>
          <w:tcPr>
            <w:tcW w:w="1710" w:type="dxa"/>
            <w:vAlign w:val="center"/>
          </w:tcPr>
          <w:p w14:paraId="00A886F2" w14:textId="77777777" w:rsidR="00190F67" w:rsidRDefault="00267DD1" w:rsidP="004860DB">
            <w:pPr>
              <w:pStyle w:val="tabletext"/>
              <w:keepNext/>
              <w:ind w:firstLine="0"/>
              <w:jc w:val="center"/>
            </w:pPr>
            <w:r>
              <w:t>NA</w:t>
            </w:r>
          </w:p>
        </w:tc>
      </w:tr>
      <w:tr w:rsidR="0083462B" w:rsidRPr="00274875" w14:paraId="7EED2A9A" w14:textId="77777777" w:rsidTr="00D85C28">
        <w:trPr>
          <w:cantSplit/>
          <w:trHeight w:val="314"/>
        </w:trPr>
        <w:tc>
          <w:tcPr>
            <w:tcW w:w="2898" w:type="dxa"/>
            <w:vAlign w:val="center"/>
          </w:tcPr>
          <w:p w14:paraId="5BA1EDCE" w14:textId="0C80A7E3" w:rsidR="0083462B" w:rsidRPr="00274875" w:rsidRDefault="00BA15D7" w:rsidP="00091C34">
            <w:pPr>
              <w:pStyle w:val="tabletext"/>
              <w:keepNext/>
              <w:tabs>
                <w:tab w:val="left" w:pos="1440"/>
              </w:tabs>
              <w:ind w:right="702" w:firstLine="0"/>
            </w:pPr>
            <w:r>
              <w:t xml:space="preserve">Northwest Energy Efficiency Alliance - </w:t>
            </w:r>
            <w:r w:rsidR="00A8694C" w:rsidRPr="00274875">
              <w:t>NE</w:t>
            </w:r>
            <w:r>
              <w:t>E</w:t>
            </w:r>
            <w:r w:rsidR="00A8694C" w:rsidRPr="00274875">
              <w:t xml:space="preserve">A </w:t>
            </w:r>
            <w:r w:rsidR="00776390" w:rsidRPr="00274875">
              <w:br/>
            </w:r>
            <w:r w:rsidR="00184213" w:rsidRPr="00274875">
              <w:t>(</w:t>
            </w:r>
            <w:r w:rsidR="00A8694C" w:rsidRPr="00274875">
              <w:t>OR, WA, MT, ID</w:t>
            </w:r>
            <w:r w:rsidR="00184213" w:rsidRPr="00274875">
              <w:t>)</w:t>
            </w:r>
          </w:p>
        </w:tc>
        <w:tc>
          <w:tcPr>
            <w:tcW w:w="1170" w:type="dxa"/>
            <w:vAlign w:val="center"/>
          </w:tcPr>
          <w:p w14:paraId="6E2CEBF9" w14:textId="16305B74" w:rsidR="0083462B" w:rsidRPr="00274875" w:rsidRDefault="0083462B" w:rsidP="004860DB">
            <w:pPr>
              <w:pStyle w:val="tabletext"/>
              <w:keepNext/>
              <w:ind w:firstLine="0"/>
              <w:jc w:val="center"/>
            </w:pPr>
            <w:r w:rsidRPr="00274875">
              <w:t>2010</w:t>
            </w:r>
          </w:p>
        </w:tc>
        <w:tc>
          <w:tcPr>
            <w:tcW w:w="1350" w:type="dxa"/>
            <w:vAlign w:val="center"/>
          </w:tcPr>
          <w:p w14:paraId="4C659E20" w14:textId="58311CBF" w:rsidR="0083462B" w:rsidRPr="00274875" w:rsidRDefault="0083462B" w:rsidP="00D33693">
            <w:pPr>
              <w:pStyle w:val="tabletext"/>
              <w:keepNext/>
              <w:ind w:firstLine="0"/>
              <w:jc w:val="center"/>
            </w:pPr>
            <w:r w:rsidRPr="00274875">
              <w:t>NA</w:t>
            </w:r>
          </w:p>
        </w:tc>
        <w:tc>
          <w:tcPr>
            <w:tcW w:w="1260" w:type="dxa"/>
            <w:vAlign w:val="center"/>
          </w:tcPr>
          <w:p w14:paraId="71701667" w14:textId="6F28C0A6" w:rsidR="0083462B" w:rsidRPr="00274875" w:rsidRDefault="0083462B" w:rsidP="00D33693">
            <w:pPr>
              <w:pStyle w:val="tabletext"/>
              <w:keepNext/>
              <w:ind w:firstLine="0"/>
              <w:jc w:val="center"/>
            </w:pPr>
            <w:r w:rsidRPr="00274875">
              <w:t>NA</w:t>
            </w:r>
          </w:p>
        </w:tc>
        <w:tc>
          <w:tcPr>
            <w:tcW w:w="1260" w:type="dxa"/>
            <w:vAlign w:val="center"/>
          </w:tcPr>
          <w:p w14:paraId="74185305" w14:textId="0973846A" w:rsidR="0083462B" w:rsidRPr="00274875" w:rsidRDefault="0083462B" w:rsidP="00D33693">
            <w:pPr>
              <w:pStyle w:val="tabletext"/>
              <w:keepNext/>
              <w:ind w:firstLine="0"/>
              <w:jc w:val="center"/>
            </w:pPr>
            <w:r w:rsidRPr="00274875">
              <w:t>500</w:t>
            </w:r>
          </w:p>
        </w:tc>
        <w:tc>
          <w:tcPr>
            <w:tcW w:w="1710" w:type="dxa"/>
            <w:vAlign w:val="center"/>
          </w:tcPr>
          <w:p w14:paraId="6435CC58" w14:textId="69317219" w:rsidR="0083462B" w:rsidRPr="00274875" w:rsidRDefault="0083462B" w:rsidP="004860DB">
            <w:pPr>
              <w:pStyle w:val="tabletext"/>
              <w:keepNext/>
              <w:ind w:firstLine="0"/>
              <w:jc w:val="center"/>
            </w:pPr>
            <w:r w:rsidRPr="00274875">
              <w:t>NA</w:t>
            </w:r>
          </w:p>
        </w:tc>
      </w:tr>
      <w:tr w:rsidR="00FE48C6" w:rsidRPr="00274875" w14:paraId="7AA49A84" w14:textId="77777777" w:rsidTr="00D85C28">
        <w:trPr>
          <w:cantSplit/>
          <w:trHeight w:val="314"/>
        </w:trPr>
        <w:tc>
          <w:tcPr>
            <w:tcW w:w="2898" w:type="dxa"/>
            <w:vAlign w:val="center"/>
          </w:tcPr>
          <w:p w14:paraId="07D0517B" w14:textId="51AF918E" w:rsidR="00FE48C6" w:rsidRPr="00274875" w:rsidRDefault="005F4922" w:rsidP="00F216A1">
            <w:pPr>
              <w:pStyle w:val="tabletext"/>
              <w:keepNext/>
              <w:tabs>
                <w:tab w:val="left" w:pos="1440"/>
              </w:tabs>
              <w:ind w:right="702" w:firstLine="0"/>
            </w:pPr>
            <w:r w:rsidRPr="00274875">
              <w:t>Duke Energy Progress</w:t>
            </w:r>
            <w:r w:rsidR="00BA15D7">
              <w:t xml:space="preserve"> - </w:t>
            </w:r>
            <w:r w:rsidR="00892113">
              <w:t>DEP</w:t>
            </w:r>
            <w:r w:rsidR="00F216A1">
              <w:t xml:space="preserve"> (</w:t>
            </w:r>
            <w:r w:rsidRPr="00274875">
              <w:t>NC, SC)</w:t>
            </w:r>
          </w:p>
        </w:tc>
        <w:tc>
          <w:tcPr>
            <w:tcW w:w="1170" w:type="dxa"/>
            <w:vAlign w:val="center"/>
          </w:tcPr>
          <w:p w14:paraId="5DD2A03E" w14:textId="493BFDA4" w:rsidR="00FE48C6" w:rsidRPr="00274875" w:rsidRDefault="005F4922" w:rsidP="004860DB">
            <w:pPr>
              <w:pStyle w:val="tabletext"/>
              <w:keepNext/>
              <w:ind w:firstLine="0"/>
              <w:jc w:val="center"/>
            </w:pPr>
            <w:r w:rsidRPr="00274875">
              <w:t>2013</w:t>
            </w:r>
          </w:p>
        </w:tc>
        <w:tc>
          <w:tcPr>
            <w:tcW w:w="1350" w:type="dxa"/>
            <w:vAlign w:val="center"/>
          </w:tcPr>
          <w:p w14:paraId="745A4C14" w14:textId="1D7E6987" w:rsidR="00FE48C6" w:rsidRPr="00274875" w:rsidRDefault="005F4922" w:rsidP="00D33693">
            <w:pPr>
              <w:pStyle w:val="tabletext"/>
              <w:keepNext/>
              <w:ind w:firstLine="0"/>
              <w:jc w:val="center"/>
            </w:pPr>
            <w:r w:rsidRPr="00274875">
              <w:t>6</w:t>
            </w:r>
          </w:p>
        </w:tc>
        <w:tc>
          <w:tcPr>
            <w:tcW w:w="1260" w:type="dxa"/>
            <w:vAlign w:val="center"/>
          </w:tcPr>
          <w:p w14:paraId="47258823" w14:textId="15A31791" w:rsidR="00FE48C6" w:rsidRPr="00274875" w:rsidRDefault="005F4922" w:rsidP="00D33693">
            <w:pPr>
              <w:pStyle w:val="tabletext"/>
              <w:keepNext/>
              <w:ind w:firstLine="0"/>
              <w:jc w:val="center"/>
            </w:pPr>
            <w:r w:rsidRPr="00274875">
              <w:t>36</w:t>
            </w:r>
          </w:p>
        </w:tc>
        <w:tc>
          <w:tcPr>
            <w:tcW w:w="1260" w:type="dxa"/>
            <w:vAlign w:val="center"/>
          </w:tcPr>
          <w:p w14:paraId="05E47DB6" w14:textId="2CCBE002" w:rsidR="00FE48C6" w:rsidRPr="00274875" w:rsidRDefault="005F4922" w:rsidP="008F57F6">
            <w:pPr>
              <w:pStyle w:val="tabletext"/>
              <w:keepNext/>
              <w:ind w:firstLine="0"/>
              <w:jc w:val="center"/>
            </w:pPr>
            <w:r w:rsidRPr="00274875">
              <w:t>613</w:t>
            </w:r>
          </w:p>
        </w:tc>
        <w:tc>
          <w:tcPr>
            <w:tcW w:w="1710" w:type="dxa"/>
            <w:vAlign w:val="center"/>
          </w:tcPr>
          <w:p w14:paraId="29B75E2D" w14:textId="63A015C5" w:rsidR="00FE48C6" w:rsidRPr="00274875" w:rsidRDefault="005F4922" w:rsidP="00274875">
            <w:pPr>
              <w:pStyle w:val="tabletext"/>
              <w:keepNext/>
              <w:ind w:firstLine="0"/>
              <w:jc w:val="center"/>
            </w:pPr>
            <w:r w:rsidRPr="00274875">
              <w:t>Shelf Stocking</w:t>
            </w:r>
          </w:p>
        </w:tc>
      </w:tr>
      <w:tr w:rsidR="00FE48C6" w:rsidRPr="00274875" w14:paraId="0DB9C4F3" w14:textId="77777777" w:rsidTr="00D85C28">
        <w:trPr>
          <w:cantSplit/>
          <w:trHeight w:val="314"/>
        </w:trPr>
        <w:tc>
          <w:tcPr>
            <w:tcW w:w="2898" w:type="dxa"/>
            <w:vAlign w:val="center"/>
          </w:tcPr>
          <w:p w14:paraId="76FF0FF1" w14:textId="576FDB16" w:rsidR="00FE48C6" w:rsidRPr="00274875" w:rsidRDefault="00BA15D7" w:rsidP="00091C34">
            <w:pPr>
              <w:pStyle w:val="tabletext"/>
              <w:keepNext/>
              <w:tabs>
                <w:tab w:val="left" w:pos="1440"/>
              </w:tabs>
              <w:ind w:right="702" w:firstLine="0"/>
            </w:pPr>
            <w:r>
              <w:t xml:space="preserve">Northwest Energy Efficiency Alliance - </w:t>
            </w:r>
            <w:r w:rsidRPr="00274875">
              <w:t>NE</w:t>
            </w:r>
            <w:r>
              <w:t>EA</w:t>
            </w:r>
            <w:r w:rsidRPr="00274875">
              <w:t xml:space="preserve"> </w:t>
            </w:r>
            <w:r w:rsidR="000C0FA4" w:rsidRPr="00274875">
              <w:t xml:space="preserve"> </w:t>
            </w:r>
            <w:r w:rsidR="00184213" w:rsidRPr="00274875">
              <w:t>(OR, WA, MT, ID)</w:t>
            </w:r>
          </w:p>
        </w:tc>
        <w:tc>
          <w:tcPr>
            <w:tcW w:w="1170" w:type="dxa"/>
            <w:vAlign w:val="center"/>
          </w:tcPr>
          <w:p w14:paraId="321398D9" w14:textId="6BA6A514" w:rsidR="00FE48C6" w:rsidRPr="00274875" w:rsidRDefault="000C0FA4" w:rsidP="004860DB">
            <w:pPr>
              <w:pStyle w:val="tabletext"/>
              <w:keepNext/>
              <w:ind w:firstLine="0"/>
              <w:jc w:val="center"/>
            </w:pPr>
            <w:r w:rsidRPr="00274875">
              <w:t>2013</w:t>
            </w:r>
          </w:p>
        </w:tc>
        <w:tc>
          <w:tcPr>
            <w:tcW w:w="1350" w:type="dxa"/>
            <w:vAlign w:val="center"/>
          </w:tcPr>
          <w:p w14:paraId="34DB7FE5" w14:textId="7317DFD5" w:rsidR="00FE48C6" w:rsidRPr="00274875" w:rsidRDefault="000C0FA4" w:rsidP="00D33693">
            <w:pPr>
              <w:pStyle w:val="tabletext"/>
              <w:keepNext/>
              <w:ind w:firstLine="0"/>
              <w:jc w:val="center"/>
            </w:pPr>
            <w:r w:rsidRPr="00274875">
              <w:t>12</w:t>
            </w:r>
          </w:p>
        </w:tc>
        <w:tc>
          <w:tcPr>
            <w:tcW w:w="1260" w:type="dxa"/>
            <w:vAlign w:val="center"/>
          </w:tcPr>
          <w:p w14:paraId="63C63D78" w14:textId="75F2DA0C" w:rsidR="00FE48C6" w:rsidRPr="00274875" w:rsidRDefault="000C0FA4" w:rsidP="00D33693">
            <w:pPr>
              <w:pStyle w:val="tabletext"/>
              <w:keepNext/>
              <w:ind w:firstLine="0"/>
              <w:jc w:val="center"/>
            </w:pPr>
            <w:r w:rsidRPr="00274875">
              <w:t>5</w:t>
            </w:r>
          </w:p>
        </w:tc>
        <w:tc>
          <w:tcPr>
            <w:tcW w:w="1260" w:type="dxa"/>
            <w:vAlign w:val="center"/>
          </w:tcPr>
          <w:p w14:paraId="47311729" w14:textId="1D9EAEDA" w:rsidR="00FE48C6" w:rsidRPr="00274875" w:rsidRDefault="000C0FA4" w:rsidP="008F57F6">
            <w:pPr>
              <w:pStyle w:val="tabletext"/>
              <w:keepNext/>
              <w:ind w:firstLine="0"/>
              <w:jc w:val="center"/>
            </w:pPr>
            <w:r w:rsidRPr="00274875">
              <w:t>776</w:t>
            </w:r>
          </w:p>
        </w:tc>
        <w:tc>
          <w:tcPr>
            <w:tcW w:w="1710" w:type="dxa"/>
            <w:vAlign w:val="center"/>
          </w:tcPr>
          <w:p w14:paraId="41524F52" w14:textId="44F2471B" w:rsidR="00FE48C6" w:rsidRPr="00274875" w:rsidRDefault="000C0FA4" w:rsidP="004860DB">
            <w:pPr>
              <w:pStyle w:val="tabletext"/>
              <w:keepNext/>
              <w:ind w:firstLine="0"/>
              <w:jc w:val="center"/>
            </w:pPr>
            <w:r w:rsidRPr="00274875">
              <w:t>Shelf Stocking</w:t>
            </w:r>
          </w:p>
        </w:tc>
      </w:tr>
      <w:tr w:rsidR="00BC2BD0" w:rsidRPr="00274875" w14:paraId="5746DF88" w14:textId="77777777" w:rsidTr="00D85C28">
        <w:trPr>
          <w:cantSplit/>
          <w:trHeight w:val="314"/>
        </w:trPr>
        <w:tc>
          <w:tcPr>
            <w:tcW w:w="2898" w:type="dxa"/>
            <w:vAlign w:val="center"/>
          </w:tcPr>
          <w:p w14:paraId="5AEE571F" w14:textId="78D300FA" w:rsidR="00BC2BD0" w:rsidRPr="00274875" w:rsidRDefault="00BC2BD0" w:rsidP="00091C34">
            <w:pPr>
              <w:pStyle w:val="tabletext"/>
              <w:keepNext/>
              <w:tabs>
                <w:tab w:val="left" w:pos="1440"/>
              </w:tabs>
              <w:ind w:right="702" w:firstLine="0"/>
            </w:pPr>
            <w:r w:rsidRPr="00274875">
              <w:t>California Public Utilities Commission</w:t>
            </w:r>
            <w:r w:rsidR="00BA15D7">
              <w:t xml:space="preserve"> - </w:t>
            </w:r>
            <w:r w:rsidR="00F216A1">
              <w:t>CPUC</w:t>
            </w:r>
          </w:p>
        </w:tc>
        <w:tc>
          <w:tcPr>
            <w:tcW w:w="1170" w:type="dxa"/>
            <w:vAlign w:val="center"/>
          </w:tcPr>
          <w:p w14:paraId="049121BF" w14:textId="46F87D0A" w:rsidR="00BC2BD0" w:rsidRPr="00274875" w:rsidRDefault="00BC2BD0" w:rsidP="004860DB">
            <w:pPr>
              <w:pStyle w:val="tabletext"/>
              <w:keepNext/>
              <w:ind w:firstLine="0"/>
              <w:jc w:val="center"/>
            </w:pPr>
            <w:r w:rsidRPr="00274875">
              <w:t>2011-2012</w:t>
            </w:r>
          </w:p>
        </w:tc>
        <w:tc>
          <w:tcPr>
            <w:tcW w:w="1350" w:type="dxa"/>
            <w:vAlign w:val="center"/>
          </w:tcPr>
          <w:p w14:paraId="659ABD3D" w14:textId="7EE94555" w:rsidR="00BC2BD0" w:rsidRPr="00274875" w:rsidRDefault="00BC2BD0" w:rsidP="00D33693">
            <w:pPr>
              <w:pStyle w:val="tabletext"/>
              <w:keepNext/>
              <w:ind w:firstLine="0"/>
              <w:jc w:val="center"/>
            </w:pPr>
            <w:r w:rsidRPr="00274875">
              <w:t>12</w:t>
            </w:r>
          </w:p>
        </w:tc>
        <w:tc>
          <w:tcPr>
            <w:tcW w:w="1260" w:type="dxa"/>
            <w:vAlign w:val="center"/>
          </w:tcPr>
          <w:p w14:paraId="777B6E22" w14:textId="77407584" w:rsidR="00BC2BD0" w:rsidRPr="00274875" w:rsidRDefault="00BC2BD0" w:rsidP="00D33693">
            <w:pPr>
              <w:pStyle w:val="tabletext"/>
              <w:keepNext/>
              <w:ind w:firstLine="0"/>
              <w:jc w:val="center"/>
            </w:pPr>
            <w:r w:rsidRPr="00274875">
              <w:t>23</w:t>
            </w:r>
          </w:p>
        </w:tc>
        <w:tc>
          <w:tcPr>
            <w:tcW w:w="1260" w:type="dxa"/>
            <w:vAlign w:val="center"/>
          </w:tcPr>
          <w:p w14:paraId="553D02CA" w14:textId="4E55029F" w:rsidR="00BC2BD0" w:rsidRPr="00274875" w:rsidRDefault="00BC2BD0" w:rsidP="008F57F6">
            <w:pPr>
              <w:pStyle w:val="tabletext"/>
              <w:keepNext/>
              <w:ind w:firstLine="0"/>
              <w:jc w:val="center"/>
            </w:pPr>
            <w:r w:rsidRPr="00274875">
              <w:t>800</w:t>
            </w:r>
          </w:p>
        </w:tc>
        <w:tc>
          <w:tcPr>
            <w:tcW w:w="1710" w:type="dxa"/>
            <w:vAlign w:val="center"/>
          </w:tcPr>
          <w:p w14:paraId="20A0E390" w14:textId="2E5272D7" w:rsidR="00BC2BD0" w:rsidRPr="00274875" w:rsidRDefault="00BC2BD0" w:rsidP="004860DB">
            <w:pPr>
              <w:pStyle w:val="tabletext"/>
              <w:keepNext/>
              <w:ind w:firstLine="0"/>
              <w:jc w:val="center"/>
            </w:pPr>
            <w:r w:rsidRPr="00274875">
              <w:t>Shelf Stocking</w:t>
            </w:r>
          </w:p>
        </w:tc>
      </w:tr>
      <w:tr w:rsidR="00C56235" w:rsidRPr="00274875" w14:paraId="4C4B1A9B" w14:textId="77777777" w:rsidTr="00D85C28">
        <w:trPr>
          <w:cantSplit/>
          <w:trHeight w:val="314"/>
        </w:trPr>
        <w:tc>
          <w:tcPr>
            <w:tcW w:w="2898" w:type="dxa"/>
            <w:vAlign w:val="center"/>
          </w:tcPr>
          <w:p w14:paraId="474C79ED" w14:textId="6B2C9DAA" w:rsidR="00C56235" w:rsidRPr="00274875" w:rsidRDefault="00C56235" w:rsidP="00091C34">
            <w:pPr>
              <w:pStyle w:val="tabletext"/>
              <w:keepNext/>
              <w:tabs>
                <w:tab w:val="left" w:pos="1440"/>
              </w:tabs>
              <w:ind w:right="702" w:firstLine="0"/>
            </w:pPr>
            <w:r w:rsidRPr="00274875">
              <w:t>Connecticut</w:t>
            </w:r>
            <w:r w:rsidR="00F216A1">
              <w:t xml:space="preserve"> Consortium</w:t>
            </w:r>
          </w:p>
        </w:tc>
        <w:tc>
          <w:tcPr>
            <w:tcW w:w="1170" w:type="dxa"/>
            <w:vAlign w:val="center"/>
          </w:tcPr>
          <w:p w14:paraId="5BEE49CB" w14:textId="129CA27A" w:rsidR="00C56235" w:rsidRPr="00274875" w:rsidRDefault="00C56235" w:rsidP="004860DB">
            <w:pPr>
              <w:pStyle w:val="tabletext"/>
              <w:keepNext/>
              <w:ind w:firstLine="0"/>
              <w:jc w:val="center"/>
            </w:pPr>
            <w:r w:rsidRPr="00274875">
              <w:t>2012</w:t>
            </w:r>
          </w:p>
        </w:tc>
        <w:tc>
          <w:tcPr>
            <w:tcW w:w="1350" w:type="dxa"/>
            <w:vAlign w:val="center"/>
          </w:tcPr>
          <w:p w14:paraId="5F91E2A3" w14:textId="36125F6E" w:rsidR="00C56235" w:rsidRPr="00274875" w:rsidRDefault="00BA15D7" w:rsidP="00D33693">
            <w:pPr>
              <w:pStyle w:val="tabletext"/>
              <w:keepNext/>
              <w:ind w:firstLine="0"/>
              <w:jc w:val="center"/>
            </w:pPr>
            <w:r>
              <w:t>NA</w:t>
            </w:r>
          </w:p>
        </w:tc>
        <w:tc>
          <w:tcPr>
            <w:tcW w:w="1260" w:type="dxa"/>
            <w:vAlign w:val="center"/>
          </w:tcPr>
          <w:p w14:paraId="7AB064A6" w14:textId="79E3CF0E" w:rsidR="00C56235" w:rsidRPr="00274875" w:rsidRDefault="00BA15D7" w:rsidP="00D33693">
            <w:pPr>
              <w:pStyle w:val="tabletext"/>
              <w:keepNext/>
              <w:ind w:firstLine="0"/>
              <w:jc w:val="center"/>
            </w:pPr>
            <w:r>
              <w:t>NA</w:t>
            </w:r>
          </w:p>
        </w:tc>
        <w:tc>
          <w:tcPr>
            <w:tcW w:w="1260" w:type="dxa"/>
            <w:vAlign w:val="center"/>
          </w:tcPr>
          <w:p w14:paraId="5C12218C" w14:textId="1E11EA07" w:rsidR="00C56235" w:rsidRPr="00274875" w:rsidRDefault="00C56235" w:rsidP="008F57F6">
            <w:pPr>
              <w:pStyle w:val="tabletext"/>
              <w:keepNext/>
              <w:ind w:firstLine="0"/>
              <w:jc w:val="center"/>
            </w:pPr>
            <w:r w:rsidRPr="00274875">
              <w:t>551</w:t>
            </w:r>
          </w:p>
        </w:tc>
        <w:tc>
          <w:tcPr>
            <w:tcW w:w="1710" w:type="dxa"/>
            <w:vAlign w:val="center"/>
          </w:tcPr>
          <w:p w14:paraId="3E9DF19E" w14:textId="304BE1DD" w:rsidR="00C56235" w:rsidRPr="00274875" w:rsidRDefault="00C56235" w:rsidP="004860DB">
            <w:pPr>
              <w:pStyle w:val="tabletext"/>
              <w:keepNext/>
              <w:ind w:firstLine="0"/>
              <w:jc w:val="center"/>
            </w:pPr>
            <w:r w:rsidRPr="00274875">
              <w:t>Focus Groups</w:t>
            </w:r>
          </w:p>
        </w:tc>
      </w:tr>
      <w:tr w:rsidR="00184213" w:rsidRPr="00274875" w14:paraId="3BB12B84" w14:textId="77777777" w:rsidTr="00D85C28">
        <w:trPr>
          <w:cantSplit/>
          <w:trHeight w:val="314"/>
        </w:trPr>
        <w:tc>
          <w:tcPr>
            <w:tcW w:w="2898" w:type="dxa"/>
            <w:vAlign w:val="center"/>
          </w:tcPr>
          <w:p w14:paraId="5C5254AD" w14:textId="321126FA" w:rsidR="00184213" w:rsidRPr="00274875" w:rsidRDefault="00184213" w:rsidP="00F216A1">
            <w:pPr>
              <w:pStyle w:val="tabletext"/>
              <w:keepNext/>
              <w:tabs>
                <w:tab w:val="left" w:pos="1440"/>
              </w:tabs>
              <w:ind w:right="702" w:firstLine="0"/>
            </w:pPr>
            <w:r w:rsidRPr="00274875">
              <w:t>Commonwealth Edison</w:t>
            </w:r>
            <w:r w:rsidR="00BA15D7">
              <w:t xml:space="preserve"> - </w:t>
            </w:r>
            <w:proofErr w:type="spellStart"/>
            <w:r w:rsidRPr="00274875">
              <w:t>ComEd</w:t>
            </w:r>
            <w:proofErr w:type="spellEnd"/>
            <w:r w:rsidR="00F216A1">
              <w:t xml:space="preserve"> (</w:t>
            </w:r>
            <w:r w:rsidRPr="00274875">
              <w:t>IL)</w:t>
            </w:r>
          </w:p>
        </w:tc>
        <w:tc>
          <w:tcPr>
            <w:tcW w:w="1170" w:type="dxa"/>
            <w:vAlign w:val="center"/>
          </w:tcPr>
          <w:p w14:paraId="5D87497D" w14:textId="2AF82824" w:rsidR="00184213" w:rsidRPr="00274875" w:rsidRDefault="00776390" w:rsidP="004860DB">
            <w:pPr>
              <w:pStyle w:val="tabletext"/>
              <w:keepNext/>
              <w:ind w:firstLine="0"/>
              <w:jc w:val="center"/>
            </w:pPr>
            <w:r w:rsidRPr="00274875">
              <w:t>2013</w:t>
            </w:r>
          </w:p>
        </w:tc>
        <w:tc>
          <w:tcPr>
            <w:tcW w:w="1350" w:type="dxa"/>
            <w:vAlign w:val="center"/>
          </w:tcPr>
          <w:p w14:paraId="2A1B15AE" w14:textId="02FA590C" w:rsidR="00184213" w:rsidRPr="00274875" w:rsidRDefault="00BA15D7" w:rsidP="00D33693">
            <w:pPr>
              <w:pStyle w:val="tabletext"/>
              <w:keepNext/>
              <w:ind w:firstLine="0"/>
              <w:jc w:val="center"/>
            </w:pPr>
            <w:r>
              <w:t>NA</w:t>
            </w:r>
          </w:p>
        </w:tc>
        <w:tc>
          <w:tcPr>
            <w:tcW w:w="1260" w:type="dxa"/>
            <w:vAlign w:val="center"/>
          </w:tcPr>
          <w:p w14:paraId="6C1B82CF" w14:textId="338B52F5" w:rsidR="00184213" w:rsidRPr="00274875" w:rsidRDefault="00BA15D7" w:rsidP="00D33693">
            <w:pPr>
              <w:pStyle w:val="tabletext"/>
              <w:keepNext/>
              <w:ind w:firstLine="0"/>
              <w:jc w:val="center"/>
            </w:pPr>
            <w:r>
              <w:t>NA</w:t>
            </w:r>
          </w:p>
        </w:tc>
        <w:tc>
          <w:tcPr>
            <w:tcW w:w="1260" w:type="dxa"/>
            <w:vAlign w:val="center"/>
          </w:tcPr>
          <w:p w14:paraId="76762DCA" w14:textId="6EF9C756" w:rsidR="00184213" w:rsidRPr="00274875" w:rsidRDefault="00776390" w:rsidP="008F57F6">
            <w:pPr>
              <w:pStyle w:val="tabletext"/>
              <w:keepNext/>
              <w:ind w:firstLine="0"/>
              <w:jc w:val="center"/>
            </w:pPr>
            <w:r w:rsidRPr="00274875">
              <w:t>792</w:t>
            </w:r>
          </w:p>
        </w:tc>
        <w:tc>
          <w:tcPr>
            <w:tcW w:w="1710" w:type="dxa"/>
            <w:vAlign w:val="center"/>
          </w:tcPr>
          <w:p w14:paraId="2EC7A27C" w14:textId="0D28BD7B" w:rsidR="00184213" w:rsidRPr="00274875" w:rsidRDefault="00776390" w:rsidP="004860DB">
            <w:pPr>
              <w:pStyle w:val="tabletext"/>
              <w:keepNext/>
              <w:ind w:firstLine="0"/>
              <w:jc w:val="center"/>
            </w:pPr>
            <w:r w:rsidRPr="00274875">
              <w:t>Shelf Stocking</w:t>
            </w:r>
          </w:p>
        </w:tc>
      </w:tr>
      <w:tr w:rsidR="000C1B1C" w:rsidRPr="00274875" w14:paraId="43DA4BDF" w14:textId="77777777" w:rsidTr="00D85C28">
        <w:trPr>
          <w:cantSplit/>
          <w:trHeight w:val="314"/>
        </w:trPr>
        <w:tc>
          <w:tcPr>
            <w:tcW w:w="2898" w:type="dxa"/>
            <w:vAlign w:val="center"/>
          </w:tcPr>
          <w:p w14:paraId="78AB3BF5" w14:textId="571104E2" w:rsidR="000C1B1C" w:rsidRPr="00274875" w:rsidRDefault="009224B6" w:rsidP="00091C34">
            <w:pPr>
              <w:pStyle w:val="tabletext"/>
              <w:keepNext/>
              <w:tabs>
                <w:tab w:val="left" w:pos="1440"/>
              </w:tabs>
              <w:ind w:right="702" w:firstLine="0"/>
            </w:pPr>
            <w:r>
              <w:t>New York State Energy Research and Development Authority – NYSERDA</w:t>
            </w:r>
          </w:p>
        </w:tc>
        <w:tc>
          <w:tcPr>
            <w:tcW w:w="1170" w:type="dxa"/>
            <w:vAlign w:val="center"/>
          </w:tcPr>
          <w:p w14:paraId="5C282442" w14:textId="4002DAE8" w:rsidR="000C1B1C" w:rsidRPr="00274875" w:rsidRDefault="000C1B1C" w:rsidP="004860DB">
            <w:pPr>
              <w:pStyle w:val="tabletext"/>
              <w:keepNext/>
              <w:ind w:firstLine="0"/>
              <w:jc w:val="center"/>
            </w:pPr>
            <w:r w:rsidRPr="00274875">
              <w:t>2012-2013</w:t>
            </w:r>
          </w:p>
        </w:tc>
        <w:tc>
          <w:tcPr>
            <w:tcW w:w="1350" w:type="dxa"/>
            <w:vAlign w:val="center"/>
          </w:tcPr>
          <w:p w14:paraId="0B03D45E" w14:textId="5936E53E" w:rsidR="000C1B1C" w:rsidRPr="00274875" w:rsidRDefault="00BA15D7" w:rsidP="00D33693">
            <w:pPr>
              <w:pStyle w:val="tabletext"/>
              <w:keepNext/>
              <w:ind w:firstLine="0"/>
              <w:jc w:val="center"/>
            </w:pPr>
            <w:r>
              <w:t>NA</w:t>
            </w:r>
          </w:p>
        </w:tc>
        <w:tc>
          <w:tcPr>
            <w:tcW w:w="1260" w:type="dxa"/>
            <w:vAlign w:val="center"/>
          </w:tcPr>
          <w:p w14:paraId="2CF6CC34" w14:textId="2A056B18" w:rsidR="000C1B1C" w:rsidRPr="00274875" w:rsidRDefault="00BA15D7" w:rsidP="00D33693">
            <w:pPr>
              <w:pStyle w:val="tabletext"/>
              <w:keepNext/>
              <w:ind w:firstLine="0"/>
              <w:jc w:val="center"/>
            </w:pPr>
            <w:r>
              <w:t>NA</w:t>
            </w:r>
          </w:p>
        </w:tc>
        <w:tc>
          <w:tcPr>
            <w:tcW w:w="1260" w:type="dxa"/>
            <w:vAlign w:val="center"/>
          </w:tcPr>
          <w:p w14:paraId="1304A742" w14:textId="42F5378E" w:rsidR="000C1B1C" w:rsidRPr="00274875" w:rsidRDefault="009224B6" w:rsidP="008F57F6">
            <w:pPr>
              <w:pStyle w:val="tabletext"/>
              <w:keepNext/>
              <w:ind w:firstLine="0"/>
              <w:jc w:val="center"/>
            </w:pPr>
            <w:r>
              <w:t>720</w:t>
            </w:r>
          </w:p>
        </w:tc>
        <w:tc>
          <w:tcPr>
            <w:tcW w:w="1710" w:type="dxa"/>
            <w:vAlign w:val="center"/>
          </w:tcPr>
          <w:p w14:paraId="34914394" w14:textId="54611A2D" w:rsidR="000C1B1C" w:rsidRPr="00274875" w:rsidRDefault="009224B6" w:rsidP="004860DB">
            <w:pPr>
              <w:pStyle w:val="tabletext"/>
              <w:keepNext/>
              <w:ind w:firstLine="0"/>
              <w:jc w:val="center"/>
            </w:pPr>
            <w:r>
              <w:t>Onsite Inventory</w:t>
            </w:r>
          </w:p>
        </w:tc>
      </w:tr>
      <w:tr w:rsidR="00190F67" w:rsidRPr="00274875" w14:paraId="58033BF1" w14:textId="77777777" w:rsidTr="00D85C28">
        <w:trPr>
          <w:cantSplit/>
          <w:trHeight w:val="314"/>
        </w:trPr>
        <w:tc>
          <w:tcPr>
            <w:tcW w:w="2898" w:type="dxa"/>
            <w:vAlign w:val="center"/>
          </w:tcPr>
          <w:p w14:paraId="47FBDF48" w14:textId="19CEB07C" w:rsidR="00190F67" w:rsidRPr="00274875" w:rsidRDefault="00190F67" w:rsidP="00091C34">
            <w:pPr>
              <w:pStyle w:val="tabletext"/>
              <w:keepNext/>
              <w:tabs>
                <w:tab w:val="left" w:pos="1440"/>
              </w:tabs>
              <w:ind w:right="702" w:firstLine="0"/>
            </w:pPr>
            <w:r w:rsidRPr="00274875">
              <w:t>Total</w:t>
            </w:r>
          </w:p>
        </w:tc>
        <w:tc>
          <w:tcPr>
            <w:tcW w:w="1170" w:type="dxa"/>
            <w:vAlign w:val="center"/>
          </w:tcPr>
          <w:p w14:paraId="24B1A31A" w14:textId="77777777" w:rsidR="00190F67" w:rsidRPr="00274875" w:rsidRDefault="00190F67" w:rsidP="004860DB">
            <w:pPr>
              <w:pStyle w:val="tabletext"/>
              <w:keepNext/>
              <w:ind w:firstLine="0"/>
              <w:jc w:val="center"/>
            </w:pPr>
          </w:p>
        </w:tc>
        <w:tc>
          <w:tcPr>
            <w:tcW w:w="1350" w:type="dxa"/>
            <w:vAlign w:val="center"/>
          </w:tcPr>
          <w:p w14:paraId="4DCADD08" w14:textId="2E1987E9" w:rsidR="00190F67" w:rsidRPr="00274875" w:rsidRDefault="00F216A1" w:rsidP="00D33693">
            <w:pPr>
              <w:pStyle w:val="tabletext"/>
              <w:keepNext/>
              <w:ind w:firstLine="0"/>
              <w:jc w:val="center"/>
            </w:pPr>
            <w:r>
              <w:t>4</w:t>
            </w:r>
            <w:r w:rsidR="00EB4A47" w:rsidRPr="00274875">
              <w:t>1</w:t>
            </w:r>
          </w:p>
        </w:tc>
        <w:tc>
          <w:tcPr>
            <w:tcW w:w="1260" w:type="dxa"/>
            <w:vAlign w:val="center"/>
          </w:tcPr>
          <w:p w14:paraId="7A8E6BC5" w14:textId="748364F3" w:rsidR="00190F67" w:rsidRPr="00274875" w:rsidRDefault="008B2034" w:rsidP="00D33693">
            <w:pPr>
              <w:pStyle w:val="tabletext"/>
              <w:keepNext/>
              <w:ind w:firstLine="0"/>
              <w:jc w:val="center"/>
            </w:pPr>
            <w:r>
              <w:t>303</w:t>
            </w:r>
          </w:p>
        </w:tc>
        <w:tc>
          <w:tcPr>
            <w:tcW w:w="1260" w:type="dxa"/>
            <w:vAlign w:val="center"/>
          </w:tcPr>
          <w:p w14:paraId="44C96C09" w14:textId="64EA8122" w:rsidR="00190F67" w:rsidRPr="00274875" w:rsidRDefault="00F216A1" w:rsidP="008F57F6">
            <w:pPr>
              <w:pStyle w:val="tabletext"/>
              <w:keepNext/>
              <w:ind w:firstLine="0"/>
              <w:jc w:val="center"/>
            </w:pPr>
            <w:r>
              <w:t>7,859</w:t>
            </w:r>
          </w:p>
        </w:tc>
        <w:tc>
          <w:tcPr>
            <w:tcW w:w="1710" w:type="dxa"/>
            <w:vAlign w:val="center"/>
          </w:tcPr>
          <w:p w14:paraId="7E427EB1" w14:textId="77777777" w:rsidR="00190F67" w:rsidRPr="00274875" w:rsidRDefault="00EB4A47" w:rsidP="004860DB">
            <w:pPr>
              <w:pStyle w:val="tabletext"/>
              <w:keepNext/>
              <w:ind w:firstLine="0"/>
              <w:jc w:val="center"/>
            </w:pPr>
            <w:r w:rsidRPr="00274875">
              <w:t>NA</w:t>
            </w:r>
          </w:p>
        </w:tc>
      </w:tr>
    </w:tbl>
    <w:p w14:paraId="40011917" w14:textId="1EB2E6A9" w:rsidR="001738DF" w:rsidRDefault="0089662E" w:rsidP="00D85C28">
      <w:pPr>
        <w:pStyle w:val="tablenotes"/>
        <w:ind w:firstLine="0"/>
        <w:jc w:val="left"/>
      </w:pPr>
      <w:r>
        <w:rPr>
          <w:i/>
        </w:rPr>
        <w:t xml:space="preserve">The Cadmus Group, </w:t>
      </w:r>
      <w:proofErr w:type="spellStart"/>
      <w:r>
        <w:rPr>
          <w:i/>
        </w:rPr>
        <w:t>Inc</w:t>
      </w:r>
      <w:proofErr w:type="spellEnd"/>
      <w:r>
        <w:rPr>
          <w:i/>
        </w:rPr>
        <w:t xml:space="preserve"> 2011; The Cadmus Group, </w:t>
      </w:r>
      <w:proofErr w:type="spellStart"/>
      <w:r>
        <w:rPr>
          <w:i/>
        </w:rPr>
        <w:t>Inc</w:t>
      </w:r>
      <w:proofErr w:type="spellEnd"/>
      <w:r>
        <w:rPr>
          <w:i/>
        </w:rPr>
        <w:t xml:space="preserve"> 2012; DNV </w:t>
      </w:r>
      <w:proofErr w:type="spellStart"/>
      <w:r>
        <w:rPr>
          <w:i/>
        </w:rPr>
        <w:t>Kema</w:t>
      </w:r>
      <w:proofErr w:type="spellEnd"/>
      <w:r>
        <w:rPr>
          <w:i/>
        </w:rPr>
        <w:t xml:space="preserve"> 2013; Navigant Consulting and Apex Analytics 2013; Navigant Consulting and </w:t>
      </w:r>
      <w:proofErr w:type="spellStart"/>
      <w:r>
        <w:rPr>
          <w:i/>
        </w:rPr>
        <w:t>Itron</w:t>
      </w:r>
      <w:proofErr w:type="spellEnd"/>
      <w:r>
        <w:rPr>
          <w:i/>
        </w:rPr>
        <w:t xml:space="preserve">, </w:t>
      </w:r>
      <w:proofErr w:type="spellStart"/>
      <w:r>
        <w:rPr>
          <w:i/>
        </w:rPr>
        <w:t>Inc</w:t>
      </w:r>
      <w:proofErr w:type="spellEnd"/>
      <w:r>
        <w:rPr>
          <w:i/>
        </w:rPr>
        <w:t xml:space="preserve"> 2011; Navigant Consulting and </w:t>
      </w:r>
      <w:proofErr w:type="spellStart"/>
      <w:r>
        <w:rPr>
          <w:i/>
        </w:rPr>
        <w:t>Itron</w:t>
      </w:r>
      <w:proofErr w:type="spellEnd"/>
      <w:r>
        <w:rPr>
          <w:i/>
        </w:rPr>
        <w:t xml:space="preserve">, </w:t>
      </w:r>
      <w:proofErr w:type="spellStart"/>
      <w:r>
        <w:rPr>
          <w:i/>
        </w:rPr>
        <w:t>Inc</w:t>
      </w:r>
      <w:proofErr w:type="spellEnd"/>
      <w:r>
        <w:rPr>
          <w:i/>
        </w:rPr>
        <w:t xml:space="preserve"> 2013; </w:t>
      </w:r>
      <w:proofErr w:type="spellStart"/>
      <w:r>
        <w:rPr>
          <w:i/>
        </w:rPr>
        <w:t>Kema</w:t>
      </w:r>
      <w:proofErr w:type="spellEnd"/>
      <w:r>
        <w:rPr>
          <w:i/>
        </w:rPr>
        <w:t xml:space="preserve"> 2010; NMR Group, </w:t>
      </w:r>
      <w:proofErr w:type="spellStart"/>
      <w:r>
        <w:rPr>
          <w:i/>
        </w:rPr>
        <w:t>Inc</w:t>
      </w:r>
      <w:proofErr w:type="spellEnd"/>
      <w:r>
        <w:rPr>
          <w:i/>
        </w:rPr>
        <w:t xml:space="preserve"> 2011; NMR Group, </w:t>
      </w:r>
      <w:proofErr w:type="spellStart"/>
      <w:r>
        <w:rPr>
          <w:i/>
        </w:rPr>
        <w:t>Inc</w:t>
      </w:r>
      <w:proofErr w:type="spellEnd"/>
      <w:r>
        <w:rPr>
          <w:i/>
        </w:rPr>
        <w:t xml:space="preserve"> 2012; NMR Group, </w:t>
      </w:r>
      <w:proofErr w:type="spellStart"/>
      <w:r>
        <w:rPr>
          <w:i/>
        </w:rPr>
        <w:t>Inc</w:t>
      </w:r>
      <w:proofErr w:type="spellEnd"/>
      <w:r>
        <w:rPr>
          <w:i/>
        </w:rPr>
        <w:t xml:space="preserve"> 2013.  </w:t>
      </w:r>
      <w:r w:rsidR="00BC0B34">
        <w:rPr>
          <w:i/>
        </w:rPr>
        <w:br/>
      </w:r>
    </w:p>
    <w:p w14:paraId="052C5EE0" w14:textId="75332595" w:rsidR="001738DF" w:rsidRDefault="0026382A" w:rsidP="00FD22C5">
      <w:pPr>
        <w:pStyle w:val="Heading1"/>
        <w:jc w:val="left"/>
      </w:pPr>
      <w:r>
        <w:t>Supplier</w:t>
      </w:r>
      <w:r w:rsidR="001738DF">
        <w:t xml:space="preserve"> Perspective</w:t>
      </w:r>
      <w:r w:rsidR="00650D56">
        <w:t>s</w:t>
      </w:r>
    </w:p>
    <w:p w14:paraId="124070D9" w14:textId="77777777" w:rsidR="001738DF" w:rsidRDefault="001738DF" w:rsidP="0031339A">
      <w:pPr>
        <w:keepNext/>
        <w:widowControl w:val="0"/>
        <w:jc w:val="left"/>
      </w:pPr>
    </w:p>
    <w:p w14:paraId="7D6BA143" w14:textId="0BEAE7D0" w:rsidR="00A81B4B" w:rsidRDefault="00BA15D7" w:rsidP="0031339A">
      <w:pPr>
        <w:keepNext/>
        <w:widowControl w:val="0"/>
        <w:jc w:val="left"/>
      </w:pPr>
      <w:r>
        <w:t>Due to the upstream nature of the EISA legislation, light</w:t>
      </w:r>
      <w:r w:rsidR="002E101F">
        <w:t xml:space="preserve"> </w:t>
      </w:r>
      <w:r>
        <w:t>bulb suppliers have been</w:t>
      </w:r>
      <w:r w:rsidR="002E101F">
        <w:t xml:space="preserve"> some of the first to be affected by the EISA legislation. Any that previously manufactured 100 or 75 watt bulbs had to stop production of these bulbs and potentially switch to another technology. Their predictions on consumer preferences influence the manufacturing product mix and therefore, the future availability of </w:t>
      </w:r>
      <w:r w:rsidR="00A81B4B">
        <w:t>retail lighting products.</w:t>
      </w:r>
      <w:r w:rsidR="002E101F">
        <w:t xml:space="preserve"> </w:t>
      </w:r>
      <w:r w:rsidR="00A81B4B">
        <w:t>This section investigates</w:t>
      </w:r>
      <w:r w:rsidR="002A3BDE">
        <w:t xml:space="preserve"> EISA</w:t>
      </w:r>
      <w:r w:rsidR="00A81B4B">
        <w:t xml:space="preserve"> </w:t>
      </w:r>
      <w:r w:rsidR="00A81B4B">
        <w:lastRenderedPageBreak/>
        <w:t xml:space="preserve">viewpoints </w:t>
      </w:r>
      <w:r w:rsidR="002A3BDE">
        <w:t>and expectations</w:t>
      </w:r>
      <w:r w:rsidR="00A81B4B">
        <w:t xml:space="preserve"> from the National Electrical Manufacturers Association (NEMA), </w:t>
      </w:r>
      <w:r w:rsidR="002A3BDE">
        <w:t xml:space="preserve">lighting </w:t>
      </w:r>
      <w:r w:rsidR="00A81B4B">
        <w:t>manufacturers, corporate retailers, and retail store managers.</w:t>
      </w:r>
    </w:p>
    <w:p w14:paraId="669DF0F7" w14:textId="251674D0" w:rsidR="00BA15D7" w:rsidRDefault="002E101F" w:rsidP="0031339A">
      <w:pPr>
        <w:keepNext/>
        <w:widowControl w:val="0"/>
        <w:jc w:val="left"/>
      </w:pPr>
      <w:r>
        <w:t xml:space="preserve"> </w:t>
      </w:r>
    </w:p>
    <w:p w14:paraId="198C70E4" w14:textId="4861AFB1" w:rsidR="00BA15D7" w:rsidRDefault="00BA15D7" w:rsidP="00A81B4B">
      <w:pPr>
        <w:pStyle w:val="Heading2"/>
      </w:pPr>
      <w:r>
        <w:t>National Electrical Manufacturers Association (NEMA)</w:t>
      </w:r>
    </w:p>
    <w:p w14:paraId="4D35F485" w14:textId="4DA28C11" w:rsidR="0051291C" w:rsidRDefault="0023186F" w:rsidP="0051291C">
      <w:pPr>
        <w:jc w:val="left"/>
      </w:pPr>
      <w:r>
        <w:t>One of the most vocal proponents of the EISA legislation</w:t>
      </w:r>
      <w:r w:rsidR="001A7AB8">
        <w:t xml:space="preserve"> was </w:t>
      </w:r>
      <w:r w:rsidR="006D6672">
        <w:t xml:space="preserve">the </w:t>
      </w:r>
      <w:r w:rsidR="0051291C">
        <w:t>National Electr</w:t>
      </w:r>
      <w:r w:rsidR="006D6672">
        <w:t xml:space="preserve">ical Manufacturers Association (NEMA), a trade association that includes many of the major lighting manufacturers. </w:t>
      </w:r>
      <w:r w:rsidR="001C6141">
        <w:t>NEMA representatives testified multiple times before the House and Senate in support of the bill.</w:t>
      </w:r>
      <w:r w:rsidR="001C6141">
        <w:rPr>
          <w:rStyle w:val="FootnoteReference"/>
        </w:rPr>
        <w:footnoteReference w:id="3"/>
      </w:r>
      <w:r w:rsidR="001C6141">
        <w:t xml:space="preserve"> </w:t>
      </w:r>
      <w:r w:rsidR="005C63CD">
        <w:t>T</w:t>
      </w:r>
      <w:r w:rsidR="001C6141">
        <w:t xml:space="preserve">he motivation of the lighting manufacturers </w:t>
      </w:r>
      <w:r w:rsidR="005C63CD">
        <w:t>may have been environmental</w:t>
      </w:r>
      <w:r w:rsidR="00DB64F7">
        <w:t xml:space="preserve"> as well as economic</w:t>
      </w:r>
      <w:r w:rsidR="005C63CD">
        <w:t xml:space="preserve">, as the lighting market </w:t>
      </w:r>
      <w:r w:rsidR="00DB64F7">
        <w:t xml:space="preserve">at the time </w:t>
      </w:r>
      <w:r w:rsidR="005C63CD">
        <w:t xml:space="preserve">was relatively “stale” </w:t>
      </w:r>
      <w:r w:rsidR="00DB64F7">
        <w:t xml:space="preserve">having </w:t>
      </w:r>
      <w:r w:rsidR="005C63CD">
        <w:t>many low priced products that had</w:t>
      </w:r>
      <w:r w:rsidR="00F216AA">
        <w:t xml:space="preserve"> </w:t>
      </w:r>
      <w:r w:rsidR="005C63CD">
        <w:t>n</w:t>
      </w:r>
      <w:r w:rsidR="00F216AA">
        <w:t>o</w:t>
      </w:r>
      <w:r w:rsidR="005C63CD">
        <w:t>t changed significantly in years.</w:t>
      </w:r>
      <w:r w:rsidR="000A1054">
        <w:t xml:space="preserve"> EISA</w:t>
      </w:r>
      <w:r w:rsidR="00DB64F7">
        <w:t xml:space="preserve"> </w:t>
      </w:r>
      <w:r w:rsidR="000A1054">
        <w:t>provided a way to invigorate a market and create new economic opportunity for lighting manufacturers.</w:t>
      </w:r>
    </w:p>
    <w:p w14:paraId="36B520EE" w14:textId="6BD4583C" w:rsidR="00650D56" w:rsidRDefault="000A1054" w:rsidP="00650D56">
      <w:pPr>
        <w:jc w:val="left"/>
      </w:pPr>
      <w:r>
        <w:t xml:space="preserve">Lighting manufacturers, largely through NEMA, continued to </w:t>
      </w:r>
      <w:r w:rsidR="002347E5">
        <w:t>demonstrate</w:t>
      </w:r>
      <w:r>
        <w:t xml:space="preserve"> their</w:t>
      </w:r>
      <w:r w:rsidR="002347E5">
        <w:t xml:space="preserve"> support for EISA</w:t>
      </w:r>
      <w:r w:rsidR="00892113">
        <w:t xml:space="preserve"> after it was signed into law</w:t>
      </w:r>
      <w:r w:rsidR="002347E5">
        <w:t>. This support has been criti</w:t>
      </w:r>
      <w:r w:rsidR="00892113">
        <w:t xml:space="preserve">cal, particularly when EISA was </w:t>
      </w:r>
      <w:r w:rsidR="002347E5">
        <w:t xml:space="preserve">at risk of getting repealed, and when the 2011 federal budget agreement included a rider that prohibited federal enforcement of </w:t>
      </w:r>
      <w:r w:rsidR="00A32F38">
        <w:t xml:space="preserve">all aspects of </w:t>
      </w:r>
      <w:r w:rsidR="002347E5">
        <w:t>EISA. NEMA immediately issued a press release, stating, “NEMA</w:t>
      </w:r>
      <w:r w:rsidR="00DB64F7">
        <w:t xml:space="preserve"> [</w:t>
      </w:r>
      <w:r w:rsidR="002347E5">
        <w:t>…</w:t>
      </w:r>
      <w:r w:rsidR="00DB64F7">
        <w:t xml:space="preserve">] </w:t>
      </w:r>
      <w:r w:rsidR="002347E5">
        <w:t>remains committed to and supportive of the lighting standards established in the Energy Independence and Security Act of 2007. NEMA did not support the inclusion of this rider, which imposes funding limitations on the Department of Energy (DOE) to enforce the light bulb standards for FY2012</w:t>
      </w:r>
      <w:r w:rsidR="00DB64F7">
        <w:t xml:space="preserve"> [</w:t>
      </w:r>
      <w:r w:rsidR="002347E5">
        <w:t>…</w:t>
      </w:r>
      <w:r w:rsidR="00DB64F7">
        <w:t xml:space="preserve">] </w:t>
      </w:r>
      <w:r w:rsidR="002347E5">
        <w:t>American manufacturers have invested millions of dollars in transitioning to energy efficient lighting as a result of the EISA 2007 provision. Delay in enforcement undermines those investments and creates regulatory uncertainty.”</w:t>
      </w:r>
      <w:r w:rsidR="00D355AE">
        <w:t xml:space="preserve"> </w:t>
      </w:r>
      <w:r w:rsidR="00A32F38">
        <w:t>General Electric, as an example, has already closed down legacy incandescent manufacturing plans in Ohio, Kentucky, and Virginia</w:t>
      </w:r>
      <w:r w:rsidR="003739D8">
        <w:t xml:space="preserve"> and all major lighting manufacturers have introduced many new EISA compliant bulb types</w:t>
      </w:r>
      <w:r w:rsidR="00A32F38">
        <w:t xml:space="preserve">. </w:t>
      </w:r>
    </w:p>
    <w:p w14:paraId="005D7219" w14:textId="77777777" w:rsidR="00650D56" w:rsidRDefault="00650D56" w:rsidP="00650D56">
      <w:pPr>
        <w:jc w:val="left"/>
      </w:pPr>
    </w:p>
    <w:p w14:paraId="5DBD1503" w14:textId="62B3844E" w:rsidR="00650D56" w:rsidRDefault="00650D56" w:rsidP="00650D56">
      <w:pPr>
        <w:pStyle w:val="Heading2"/>
      </w:pPr>
      <w:r>
        <w:t>EISA Awareness</w:t>
      </w:r>
      <w:r w:rsidR="00B86E18">
        <w:t xml:space="preserve"> and Education</w:t>
      </w:r>
      <w:r w:rsidR="008B2034">
        <w:t xml:space="preserve"> </w:t>
      </w:r>
      <w:proofErr w:type="gramStart"/>
      <w:r w:rsidR="008B2034">
        <w:t>Among</w:t>
      </w:r>
      <w:proofErr w:type="gramEnd"/>
      <w:r w:rsidR="008B2034">
        <w:t xml:space="preserve"> Suppliers</w:t>
      </w:r>
    </w:p>
    <w:p w14:paraId="3DAB20AE" w14:textId="4DB6CFB6" w:rsidR="008A59F8" w:rsidRDefault="008A59F8" w:rsidP="00B86E18">
      <w:pPr>
        <w:jc w:val="left"/>
      </w:pPr>
      <w:r>
        <w:t xml:space="preserve">Retailer awareness of EISA varies significantly </w:t>
      </w:r>
      <w:r w:rsidR="00892113">
        <w:t>between studies</w:t>
      </w:r>
      <w:r w:rsidR="001329A1">
        <w:t>.</w:t>
      </w:r>
      <w:r>
        <w:t xml:space="preserve"> A 2010 Massachusetts study found that only 48% of retail store managers were aware of EISA, compared to 92% of retail store managers in a 2011 PacifiCorp study</w:t>
      </w:r>
      <w:r w:rsidR="001329A1">
        <w:t>,</w:t>
      </w:r>
      <w:r>
        <w:t xml:space="preserve"> </w:t>
      </w:r>
      <w:r w:rsidR="00A243FA">
        <w:t xml:space="preserve">67% in </w:t>
      </w:r>
      <w:r w:rsidR="003616A7">
        <w:t>the</w:t>
      </w:r>
      <w:r w:rsidR="00A243FA">
        <w:t xml:space="preserve"> 2012 Massachusetts study, </w:t>
      </w:r>
      <w:r>
        <w:t>and 80% in a 2013 Duke Energy Progress</w:t>
      </w:r>
      <w:r w:rsidR="001329A1">
        <w:t xml:space="preserve"> (DEP)</w:t>
      </w:r>
      <w:r>
        <w:t xml:space="preserve"> Study.</w:t>
      </w:r>
      <w:r w:rsidRPr="008A4E4D">
        <w:t xml:space="preserve"> </w:t>
      </w:r>
      <w:r w:rsidR="00B86E18">
        <w:t>Among manufacturers, roughly one-third of supplier interview respondents in California were not aware of EISA shortly after it began phasing in during January, 201</w:t>
      </w:r>
      <w:r w:rsidR="00FF6505">
        <w:t>2.</w:t>
      </w:r>
      <w:r w:rsidR="00B86E18">
        <w:t xml:space="preserve"> </w:t>
      </w:r>
      <w:r w:rsidR="00FF6505">
        <w:t>H</w:t>
      </w:r>
      <w:r w:rsidR="00B86E18">
        <w:t>owever, in the 2013 DEP evaluation, m</w:t>
      </w:r>
      <w:r w:rsidR="00B86E18" w:rsidRPr="005F4922">
        <w:t>anufacturers were uniformly aware of EISA’s provisions, and all have already begun to make production changes in response</w:t>
      </w:r>
      <w:r w:rsidR="00B86E18">
        <w:t>. The</w:t>
      </w:r>
      <w:r>
        <w:t>s</w:t>
      </w:r>
      <w:r w:rsidR="00B86E18">
        <w:t>e</w:t>
      </w:r>
      <w:r>
        <w:t xml:space="preserve"> </w:t>
      </w:r>
      <w:r w:rsidR="00DB64F7">
        <w:t xml:space="preserve">variances </w:t>
      </w:r>
      <w:r>
        <w:t>may reflect some geographic differen</w:t>
      </w:r>
      <w:r w:rsidR="00FF6505">
        <w:t>ces, but likely reflect</w:t>
      </w:r>
      <w:r>
        <w:t xml:space="preserve"> the difference</w:t>
      </w:r>
      <w:r w:rsidR="001329A1">
        <w:t xml:space="preserve"> over time</w:t>
      </w:r>
      <w:r>
        <w:t xml:space="preserve"> as the </w:t>
      </w:r>
      <w:r w:rsidR="00FF6505">
        <w:t xml:space="preserve">EISA debate </w:t>
      </w:r>
      <w:r>
        <w:t>became m</w:t>
      </w:r>
      <w:r w:rsidR="00FF6505">
        <w:t xml:space="preserve">ore public and the initial </w:t>
      </w:r>
      <w:r>
        <w:t xml:space="preserve">requirements were implemented. </w:t>
      </w:r>
    </w:p>
    <w:p w14:paraId="0DAA71B2" w14:textId="235E022E" w:rsidR="001738DF" w:rsidRDefault="00977571" w:rsidP="00FF6505">
      <w:pPr>
        <w:jc w:val="left"/>
      </w:pPr>
      <w:r>
        <w:t>L</w:t>
      </w:r>
      <w:r w:rsidR="001329A1">
        <w:t xml:space="preserve">ess than a third (32%) of the 2011 lighting retailers </w:t>
      </w:r>
      <w:r w:rsidR="001329A1" w:rsidRPr="00010E29">
        <w:t xml:space="preserve">planned to educate </w:t>
      </w:r>
      <w:bookmarkStart w:id="2" w:name="_GoBack"/>
      <w:bookmarkEnd w:id="2"/>
      <w:r w:rsidR="001329A1" w:rsidRPr="00010E29">
        <w:t>customers about the new requirements using marketing materials, such as in-store</w:t>
      </w:r>
      <w:r w:rsidR="00B86E18">
        <w:t xml:space="preserve"> displays, </w:t>
      </w:r>
      <w:r w:rsidR="00B86E18" w:rsidRPr="00B86E18">
        <w:t xml:space="preserve"> </w:t>
      </w:r>
      <w:r w:rsidR="00B86E18" w:rsidRPr="005F4922">
        <w:t xml:space="preserve">point-of-sale materials, </w:t>
      </w:r>
      <w:r w:rsidR="00DB64F7">
        <w:t>i</w:t>
      </w:r>
      <w:r w:rsidR="00B86E18" w:rsidRPr="005F4922">
        <w:t>nternet materials, guides for retail employees, and “educating retailers.”</w:t>
      </w:r>
      <w:r w:rsidR="001329A1" w:rsidRPr="00010E29">
        <w:t>.</w:t>
      </w:r>
      <w:r w:rsidR="001329A1">
        <w:rPr>
          <w:rStyle w:val="FootnoteReference"/>
        </w:rPr>
        <w:footnoteReference w:id="4"/>
      </w:r>
      <w:r w:rsidR="00892113">
        <w:t xml:space="preserve"> </w:t>
      </w:r>
      <w:r w:rsidR="00B71FB2">
        <w:t xml:space="preserve">A 2012 </w:t>
      </w:r>
      <w:r w:rsidR="00B71FB2">
        <w:lastRenderedPageBreak/>
        <w:t>DEP shelf stocking study of 70 retail stores found only one store, a large home improvement store, had any EISA signage. That store had one 7” x 16” sign in the lighting aisle explaining EISA requirements.</w:t>
      </w:r>
      <w:r w:rsidRPr="00977571">
        <w:t xml:space="preserve"> </w:t>
      </w:r>
      <w:r>
        <w:t>In 2013, f</w:t>
      </w:r>
      <w:r w:rsidRPr="005F4922">
        <w:t>ive of six manufacturers indicated that their company plans to educate customers or sales reps regarding EISA</w:t>
      </w:r>
      <w:r>
        <w:t>.</w:t>
      </w:r>
    </w:p>
    <w:p w14:paraId="647DF0DE" w14:textId="116FFBE6" w:rsidR="000039EC" w:rsidRDefault="000039EC">
      <w:pPr>
        <w:jc w:val="left"/>
      </w:pPr>
      <w:r w:rsidRPr="000039EC">
        <w:t xml:space="preserve">A </w:t>
      </w:r>
      <w:r>
        <w:t xml:space="preserve">few </w:t>
      </w:r>
      <w:r w:rsidRPr="000039EC">
        <w:t xml:space="preserve">manufacturers of incandescent bulbs </w:t>
      </w:r>
      <w:r>
        <w:t>in a 2012 Massachusetts study</w:t>
      </w:r>
      <w:r w:rsidRPr="000039EC">
        <w:t xml:space="preserve"> indicated that they had seen a spike in sales of their incandescent products, which they attributed to hoarding. “We know that certain retailers stocked up based on the ruling,” said a representative for one of these manufacturers. Another manufacturer of incandescent bulbs gave a dramatic account of the hoarding of their higher-wattage products and predicted that similar reactions would occur as lower-wattage incandescent bulbs were phased out</w:t>
      </w:r>
      <w:r>
        <w:t>.</w:t>
      </w:r>
    </w:p>
    <w:p w14:paraId="7BA4091C" w14:textId="4F20FF0D" w:rsidR="00660F8B" w:rsidRDefault="00660F8B" w:rsidP="00B86E18">
      <w:pPr>
        <w:ind w:firstLine="0"/>
        <w:jc w:val="left"/>
      </w:pPr>
    </w:p>
    <w:p w14:paraId="3017AD7D" w14:textId="497984A3" w:rsidR="001738DF" w:rsidRDefault="00BC2BD0" w:rsidP="00D508DA">
      <w:pPr>
        <w:pStyle w:val="Heading1"/>
      </w:pPr>
      <w:r>
        <w:t xml:space="preserve">Lamp </w:t>
      </w:r>
      <w:r w:rsidR="001738DF">
        <w:t>Availability</w:t>
      </w:r>
    </w:p>
    <w:p w14:paraId="17674F28" w14:textId="7E337568" w:rsidR="001738DF" w:rsidRDefault="008A3059" w:rsidP="008A3059">
      <w:pPr>
        <w:jc w:val="left"/>
      </w:pPr>
      <w:r>
        <w:t xml:space="preserve">Between 2009 and 2013, evaluators in California, North and South Carolina, </w:t>
      </w:r>
      <w:r w:rsidR="00892113">
        <w:t xml:space="preserve">Illinois, </w:t>
      </w:r>
      <w:r>
        <w:t xml:space="preserve">and the Northwest region (NEEA) conducted retailer shelf stocking studies, in part to assess the effect of EISA standards on light bulb stocking practices. Findings, below, are segmented by brightness levels to be consistent with EISA phase in requirements. </w:t>
      </w:r>
      <w:r w:rsidR="00DB64F7">
        <w:t xml:space="preserve">The </w:t>
      </w:r>
      <w:r>
        <w:t xml:space="preserve">California, Oregon, and NEEA results are limited to medium screw based (MSB), a-lamp shaped bulbs, therefore excluding exempted bulbs from the analysis. </w:t>
      </w:r>
    </w:p>
    <w:p w14:paraId="63247A2E" w14:textId="61882C45" w:rsidR="005C081A" w:rsidRDefault="008A3059" w:rsidP="00776390">
      <w:pPr>
        <w:jc w:val="left"/>
      </w:pPr>
      <w:r>
        <w:t xml:space="preserve">As noted above, California adopted the EISA regulations one year in advance of the rest of the United States. Therefore, beginning in 2011, retailers were expected to sell through their existing stock of 100 watt incandescent bulbs and not order additional bulbs. </w:t>
      </w:r>
      <w:r w:rsidRPr="00881EDA">
        <w:t>Recall that the phase-out for hig</w:t>
      </w:r>
      <w:r>
        <w:t xml:space="preserve">h brightness A-lamps started in </w:t>
      </w:r>
      <w:r w:rsidRPr="00881EDA">
        <w:t>California on January 1, 2011 and for medium high brightness A-lamps in California on January</w:t>
      </w:r>
      <w:r>
        <w:t xml:space="preserve"> 1, 2012.</w:t>
      </w:r>
    </w:p>
    <w:p w14:paraId="46AE6080" w14:textId="77777777" w:rsidR="008A3059" w:rsidRDefault="008A3059" w:rsidP="008A3059">
      <w:pPr>
        <w:ind w:firstLine="0"/>
        <w:jc w:val="left"/>
      </w:pPr>
    </w:p>
    <w:p w14:paraId="12EFA0B2" w14:textId="3B8F8CF4" w:rsidR="008A3059" w:rsidRDefault="008A3059" w:rsidP="00D508DA">
      <w:pPr>
        <w:pStyle w:val="Heading2"/>
      </w:pPr>
      <w:r w:rsidRPr="001B0F23">
        <w:t>High Brightness MSB Incandescent A-Lamps (1490-2600 lumens)</w:t>
      </w:r>
    </w:p>
    <w:p w14:paraId="1330E4D4" w14:textId="0F91F15D" w:rsidR="004B6350" w:rsidRDefault="00E16AA2" w:rsidP="00995BDF">
      <w:r>
        <w:t xml:space="preserve">While high brightness incandescent </w:t>
      </w:r>
      <w:r w:rsidR="004852D0">
        <w:t>A</w:t>
      </w:r>
      <w:r>
        <w:t xml:space="preserve">-lamp bulbs were still available over a year after EISA or AB1109 phase out, the prevalence of these bulbs </w:t>
      </w:r>
      <w:r w:rsidR="004B6350">
        <w:t>appears to be decreasing</w:t>
      </w:r>
      <w:r>
        <w:t xml:space="preserve"> over time. </w:t>
      </w:r>
      <w:r w:rsidR="004852D0">
        <w:t xml:space="preserve">For example, about six months </w:t>
      </w:r>
      <w:r w:rsidR="004852D0" w:rsidRPr="005722F2">
        <w:t>after the 100-watt EISA standard went into place</w:t>
      </w:r>
      <w:r w:rsidR="00AD6DD9">
        <w:t xml:space="preserve"> </w:t>
      </w:r>
      <w:r w:rsidRPr="00A0053E">
        <w:t>(June/July</w:t>
      </w:r>
      <w:r w:rsidR="004852D0">
        <w:t xml:space="preserve"> of 2012</w:t>
      </w:r>
      <w:r w:rsidRPr="00A0053E">
        <w:t>)</w:t>
      </w:r>
      <w:r>
        <w:t>, 79%</w:t>
      </w:r>
      <w:r w:rsidR="00A0053E" w:rsidRPr="00A0053E">
        <w:t xml:space="preserve"> of </w:t>
      </w:r>
      <w:r w:rsidR="00B71FB2">
        <w:t xml:space="preserve">DEP </w:t>
      </w:r>
      <w:r w:rsidR="00A0053E" w:rsidRPr="00A0053E">
        <w:t>retailers</w:t>
      </w:r>
      <w:r w:rsidR="00B71FB2">
        <w:t xml:space="preserve"> visited</w:t>
      </w:r>
      <w:r w:rsidR="005C081A">
        <w:t xml:space="preserve"> in North and South Carolina</w:t>
      </w:r>
      <w:r w:rsidR="00A0053E" w:rsidRPr="00A0053E">
        <w:t xml:space="preserve"> were still carrying high</w:t>
      </w:r>
      <w:r w:rsidR="005C081A">
        <w:t xml:space="preserve"> brightness</w:t>
      </w:r>
      <w:r w:rsidR="00A0053E" w:rsidRPr="00A0053E">
        <w:t xml:space="preserve"> incandescent bulbs</w:t>
      </w:r>
      <w:r w:rsidR="004A6385">
        <w:t>; eight months after the standard went into place, approximately 82% of stores visited in Massachusetts were still carrying 100 watt bulbs</w:t>
      </w:r>
      <w:r w:rsidR="004A6385">
        <w:rPr>
          <w:rStyle w:val="FootnoteReference"/>
        </w:rPr>
        <w:footnoteReference w:id="5"/>
      </w:r>
      <w:r w:rsidR="004A6385">
        <w:t xml:space="preserve">; </w:t>
      </w:r>
      <w:proofErr w:type="spellStart"/>
      <w:r w:rsidR="004A6385">
        <w:t>andn</w:t>
      </w:r>
      <w:r w:rsidR="00995BDF" w:rsidRPr="005722F2">
        <w:t>early</w:t>
      </w:r>
      <w:proofErr w:type="spellEnd"/>
      <w:r w:rsidR="00995BDF" w:rsidRPr="005722F2">
        <w:t xml:space="preserve"> 18-months after the 100-watt standard went into place, 100-watt incandescent bulbs were still on the shelves at </w:t>
      </w:r>
      <w:r w:rsidR="004852D0">
        <w:t xml:space="preserve">only </w:t>
      </w:r>
      <w:r w:rsidR="00995BDF" w:rsidRPr="005722F2">
        <w:t xml:space="preserve">50% of </w:t>
      </w:r>
      <w:proofErr w:type="spellStart"/>
      <w:r w:rsidR="00995BDF">
        <w:t>ComEd</w:t>
      </w:r>
      <w:proofErr w:type="spellEnd"/>
      <w:r w:rsidR="00995BDF">
        <w:t xml:space="preserve"> </w:t>
      </w:r>
      <w:r w:rsidR="00DB64F7">
        <w:t xml:space="preserve">(IL) </w:t>
      </w:r>
      <w:r w:rsidR="00995BDF" w:rsidRPr="005722F2">
        <w:t xml:space="preserve">program retailers. </w:t>
      </w:r>
    </w:p>
    <w:p w14:paraId="6380F141" w14:textId="16CA5585" w:rsidR="00995BDF" w:rsidRDefault="004B6350" w:rsidP="00995BDF">
      <w:r>
        <w:t>C</w:t>
      </w:r>
      <w:r w:rsidR="00AD6DD9">
        <w:t xml:space="preserve">onsumer </w:t>
      </w:r>
      <w:r w:rsidR="00995BDF">
        <w:t xml:space="preserve">survey results </w:t>
      </w:r>
      <w:r>
        <w:t xml:space="preserve">are also finding high availability of legacy incandescent </w:t>
      </w:r>
      <w:proofErr w:type="gramStart"/>
      <w:r>
        <w:t>lamps</w:t>
      </w:r>
      <w:r w:rsidR="0073012C">
        <w:t>,</w:t>
      </w:r>
      <w:proofErr w:type="gramEnd"/>
      <w:r w:rsidR="0073012C">
        <w:t xml:space="preserve"> however, they seem to be decreasing</w:t>
      </w:r>
      <w:r>
        <w:t xml:space="preserve">. For example, </w:t>
      </w:r>
      <w:r w:rsidR="00977571">
        <w:t>18%</w:t>
      </w:r>
      <w:r w:rsidR="00977571" w:rsidRPr="00763E9D">
        <w:t xml:space="preserve"> of California consumers surveyed by DNV KEMA indicated that they</w:t>
      </w:r>
      <w:r w:rsidR="00977571">
        <w:t xml:space="preserve"> </w:t>
      </w:r>
      <w:r w:rsidR="00977571" w:rsidRPr="00763E9D">
        <w:t xml:space="preserve">shopped for traditional 100 </w:t>
      </w:r>
      <w:r w:rsidR="00977571">
        <w:t xml:space="preserve">watt incandescent lamps in 2011 (after AB1109 had gone into effect) </w:t>
      </w:r>
      <w:r w:rsidR="00977571" w:rsidRPr="004B6350">
        <w:t>and 65%</w:t>
      </w:r>
      <w:r w:rsidR="00977571" w:rsidRPr="00763E9D">
        <w:t xml:space="preserve"> of those consumers </w:t>
      </w:r>
      <w:r w:rsidR="00977571">
        <w:t>were successful</w:t>
      </w:r>
      <w:r w:rsidR="00977571" w:rsidRPr="00763E9D">
        <w:t>.</w:t>
      </w:r>
      <w:r w:rsidR="00977571">
        <w:t xml:space="preserve"> Similarly, </w:t>
      </w:r>
      <w:r>
        <w:t>o</w:t>
      </w:r>
      <w:r w:rsidR="00AD6DD9">
        <w:t>f those customers</w:t>
      </w:r>
      <w:r w:rsidR="00995BDF" w:rsidRPr="005F4922">
        <w:t xml:space="preserve"> </w:t>
      </w:r>
      <w:r w:rsidR="00AD6DD9">
        <w:t xml:space="preserve">that </w:t>
      </w:r>
      <w:r w:rsidR="00995BDF" w:rsidRPr="005F4922">
        <w:t>looked for 100W incandescent bulbs in 2012, over half (</w:t>
      </w:r>
      <w:r w:rsidRPr="004B6350">
        <w:t>57</w:t>
      </w:r>
      <w:r w:rsidR="009363F8" w:rsidRPr="004B6350">
        <w:t>%</w:t>
      </w:r>
      <w:r w:rsidR="00995BDF" w:rsidRPr="004B6350">
        <w:t>)</w:t>
      </w:r>
      <w:r w:rsidR="00995BDF" w:rsidRPr="005F4922">
        <w:t xml:space="preserve"> were successful</w:t>
      </w:r>
      <w:r w:rsidR="009224B6">
        <w:t xml:space="preserve"> in the North and South Carolina, and 36% were successful in New York</w:t>
      </w:r>
      <w:r w:rsidR="00995BDF" w:rsidRPr="005F4922">
        <w:t>.</w:t>
      </w:r>
      <w:r w:rsidR="00995BDF">
        <w:t xml:space="preserve"> </w:t>
      </w:r>
      <w:r w:rsidR="0073012C">
        <w:t xml:space="preserve">In </w:t>
      </w:r>
      <w:proofErr w:type="gramStart"/>
      <w:r w:rsidR="0073012C">
        <w:t>Winter</w:t>
      </w:r>
      <w:proofErr w:type="gramEnd"/>
      <w:r w:rsidR="0073012C">
        <w:t xml:space="preserve"> of 2011 in </w:t>
      </w:r>
      <w:proofErr w:type="spellStart"/>
      <w:r w:rsidR="0073012C">
        <w:t>Massachussets</w:t>
      </w:r>
      <w:proofErr w:type="spellEnd"/>
      <w:r w:rsidR="0073012C">
        <w:t xml:space="preserve">, 77% of households shopping for 100-Watt incandescent bulbs were able </w:t>
      </w:r>
      <w:r w:rsidR="0073012C">
        <w:lastRenderedPageBreak/>
        <w:t xml:space="preserve">to find them on store shelves; this number decreased to 63% in the Summer of 2012 and again to 49% in the Winter of 2013. </w:t>
      </w:r>
    </w:p>
    <w:p w14:paraId="0CDFDFE5" w14:textId="024D0F3D" w:rsidR="005411C4" w:rsidRDefault="00E16AA2" w:rsidP="00D85C28">
      <w:pPr>
        <w:jc w:val="left"/>
      </w:pPr>
      <w:r>
        <w:t>Researchers in both California</w:t>
      </w:r>
      <w:r w:rsidR="005B547D">
        <w:t xml:space="preserve"> and the Northwest</w:t>
      </w:r>
      <w:r>
        <w:t xml:space="preserve"> studied the prevalence of </w:t>
      </w:r>
      <w:r w:rsidR="00782BD8">
        <w:t>EISA compliant</w:t>
      </w:r>
      <w:r w:rsidR="005B547D">
        <w:t xml:space="preserve"> bulbs</w:t>
      </w:r>
      <w:r>
        <w:t xml:space="preserve"> at various times during 2009, 2011, and 2012. These studies provide unique insights as to how high incandescent a-lamp bulbs have </w:t>
      </w:r>
      <w:r w:rsidR="005411C4">
        <w:t>adjusted to the new</w:t>
      </w:r>
      <w:r w:rsidR="00272579">
        <w:t xml:space="preserve"> </w:t>
      </w:r>
      <w:r w:rsidR="005411C4">
        <w:t>legislation</w:t>
      </w:r>
      <w:r>
        <w:t xml:space="preserve">. </w:t>
      </w:r>
      <w:r w:rsidR="005411C4">
        <w:t xml:space="preserve">As shown in </w:t>
      </w:r>
      <w:r w:rsidR="005411C4">
        <w:fldChar w:fldCharType="begin"/>
      </w:r>
      <w:r w:rsidR="005411C4">
        <w:instrText xml:space="preserve"> REF _Ref383605192 \h </w:instrText>
      </w:r>
      <w:r w:rsidR="005411C4">
        <w:fldChar w:fldCharType="separate"/>
      </w:r>
      <w:r w:rsidR="00892113">
        <w:t xml:space="preserve">Figure </w:t>
      </w:r>
      <w:r w:rsidR="00892113">
        <w:rPr>
          <w:noProof/>
        </w:rPr>
        <w:t>1</w:t>
      </w:r>
      <w:r w:rsidR="005411C4">
        <w:fldChar w:fldCharType="end"/>
      </w:r>
      <w:r w:rsidR="005411C4">
        <w:t>, while only 5% of bulbs met the</w:t>
      </w:r>
      <w:r w:rsidR="00272579">
        <w:t xml:space="preserve"> EISA standards </w:t>
      </w:r>
      <w:r w:rsidR="005411C4">
        <w:t xml:space="preserve">in NEEA service territory prior to legislative phase in (2011), 67% of bulbs met the standards one year after (2012). </w:t>
      </w:r>
      <w:r w:rsidR="004C0F9D" w:rsidRPr="001B0F23">
        <w:t>The percentage of high brightness MSB incandescent A-lamps that met the standard in 2012 was highest in big box stores (90%), increasing from 5</w:t>
      </w:r>
      <w:r w:rsidR="0026382A">
        <w:t>%</w:t>
      </w:r>
      <w:r w:rsidR="004C0F9D" w:rsidRPr="001B0F23">
        <w:t xml:space="preserve"> of total lamps during 2011</w:t>
      </w:r>
      <w:r w:rsidR="004C0F9D">
        <w:t xml:space="preserve">. </w:t>
      </w:r>
      <w:r w:rsidR="005411C4">
        <w:t>Similarly, California big box stores carried only 6% of complaint bulbs prior to legis</w:t>
      </w:r>
      <w:r w:rsidR="005411C4" w:rsidRPr="004C0F9D">
        <w:t xml:space="preserve">lation (2009), and increased to 97% two years after (2012). </w:t>
      </w:r>
      <w:r w:rsidR="004C0F9D" w:rsidRPr="004C0F9D">
        <w:t>T</w:t>
      </w:r>
      <w:r w:rsidR="005411C4" w:rsidRPr="004C0F9D">
        <w:t>he proportion of EISA-compliant high brightness general purpose A-lamps</w:t>
      </w:r>
      <w:r w:rsidR="004C0F9D" w:rsidRPr="004C0F9D">
        <w:t xml:space="preserve"> overall</w:t>
      </w:r>
      <w:r w:rsidR="004C0F9D">
        <w:t xml:space="preserve"> increased from just 36% </w:t>
      </w:r>
      <w:r w:rsidR="005411C4" w:rsidRPr="004C0F9D">
        <w:t xml:space="preserve">of all high brightness general purpose A-lamps </w:t>
      </w:r>
      <w:r w:rsidR="004C0F9D">
        <w:t xml:space="preserve">observed during </w:t>
      </w:r>
      <w:proofErr w:type="gramStart"/>
      <w:r w:rsidR="004C0F9D">
        <w:t>Fall</w:t>
      </w:r>
      <w:proofErr w:type="gramEnd"/>
      <w:r w:rsidR="004C0F9D">
        <w:t xml:space="preserve"> 2011 to 92% </w:t>
      </w:r>
      <w:r w:rsidR="005411C4" w:rsidRPr="004C0F9D">
        <w:t>in Summer 2012.</w:t>
      </w:r>
      <w:r w:rsidR="004C0F9D" w:rsidRPr="004C0F9D">
        <w:t xml:space="preserve"> Home improvement stores experienced the largest change between Fall 2011 and Summer 2012, with the proportion of EISA-compliant high brightness general purpose A</w:t>
      </w:r>
      <w:r w:rsidR="004C0F9D">
        <w:t>-</w:t>
      </w:r>
      <w:r w:rsidR="004C0F9D" w:rsidRPr="004C0F9D">
        <w:t>lamps increasing from just 23</w:t>
      </w:r>
      <w:r w:rsidR="004C0F9D">
        <w:t>%</w:t>
      </w:r>
      <w:r w:rsidR="004C0F9D" w:rsidRPr="004C0F9D">
        <w:t xml:space="preserve"> to 95</w:t>
      </w:r>
      <w:r w:rsidR="004C0F9D">
        <w:t>%</w:t>
      </w:r>
      <w:r w:rsidR="004C0F9D" w:rsidRPr="004C0F9D">
        <w:t xml:space="preserve"> in less than a year.</w:t>
      </w:r>
    </w:p>
    <w:p w14:paraId="039D0161" w14:textId="77777777" w:rsidR="005411C4" w:rsidRDefault="005411C4" w:rsidP="008A3059"/>
    <w:p w14:paraId="7FFA50DE" w14:textId="0F3B94D8" w:rsidR="00D85C28" w:rsidRDefault="00D85C28" w:rsidP="002120F5">
      <w:pPr>
        <w:pStyle w:val="FigureTitle"/>
        <w:keepNext/>
        <w:ind w:firstLine="0"/>
        <w:jc w:val="left"/>
        <w:rPr>
          <w:b w:val="0"/>
          <w:i/>
          <w:sz w:val="20"/>
          <w:szCs w:val="20"/>
        </w:rPr>
      </w:pPr>
    </w:p>
    <w:p w14:paraId="68CC6615" w14:textId="57D4E073" w:rsidR="002120F5" w:rsidRPr="002120F5" w:rsidRDefault="002120F5" w:rsidP="005411C4">
      <w:pPr>
        <w:pStyle w:val="FigureTitle"/>
        <w:keepNext/>
        <w:ind w:firstLine="0"/>
        <w:rPr>
          <w:sz w:val="16"/>
          <w:szCs w:val="16"/>
        </w:rPr>
      </w:pPr>
    </w:p>
    <w:p w14:paraId="71BFE648" w14:textId="412B2935" w:rsidR="00951251" w:rsidRDefault="00951251" w:rsidP="002120F5">
      <w:pPr>
        <w:pStyle w:val="FigureTitle"/>
        <w:keepNext/>
        <w:ind w:firstLine="0"/>
        <w:jc w:val="left"/>
        <w:rPr>
          <w:b w:val="0"/>
          <w:sz w:val="20"/>
          <w:szCs w:val="20"/>
        </w:rPr>
      </w:pPr>
      <w:bookmarkStart w:id="3" w:name="_Ref383605192"/>
      <w:r>
        <w:rPr>
          <w:b w:val="0"/>
          <w:noProof/>
          <w:sz w:val="20"/>
          <w:szCs w:val="20"/>
        </w:rPr>
        <w:drawing>
          <wp:inline distT="0" distB="0" distL="0" distR="0" wp14:anchorId="6EE7BAB5" wp14:editId="591ED76F">
            <wp:extent cx="4747686" cy="2779776"/>
            <wp:effectExtent l="0" t="0" r="0" b="190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747686" cy="2779776"/>
                    </a:xfrm>
                    <a:prstGeom prst="rect">
                      <a:avLst/>
                    </a:prstGeom>
                    <a:noFill/>
                  </pic:spPr>
                </pic:pic>
              </a:graphicData>
            </a:graphic>
          </wp:inline>
        </w:drawing>
      </w:r>
    </w:p>
    <w:p w14:paraId="1DD3F541" w14:textId="74AC9F68" w:rsidR="002120F5" w:rsidRPr="002120F5" w:rsidRDefault="002120F5" w:rsidP="002120F5">
      <w:pPr>
        <w:pStyle w:val="FigureTitle"/>
        <w:keepNext/>
        <w:ind w:firstLine="0"/>
        <w:jc w:val="left"/>
        <w:rPr>
          <w:b w:val="0"/>
          <w:sz w:val="20"/>
          <w:szCs w:val="20"/>
        </w:rPr>
      </w:pPr>
      <w:proofErr w:type="gramStart"/>
      <w:r w:rsidRPr="002120F5">
        <w:rPr>
          <w:b w:val="0"/>
          <w:sz w:val="20"/>
          <w:szCs w:val="20"/>
        </w:rPr>
        <w:t xml:space="preserve">Figure </w:t>
      </w:r>
      <w:r w:rsidRPr="002120F5">
        <w:rPr>
          <w:b w:val="0"/>
          <w:sz w:val="20"/>
          <w:szCs w:val="20"/>
        </w:rPr>
        <w:fldChar w:fldCharType="begin"/>
      </w:r>
      <w:r w:rsidRPr="002120F5">
        <w:rPr>
          <w:b w:val="0"/>
          <w:sz w:val="20"/>
          <w:szCs w:val="20"/>
        </w:rPr>
        <w:instrText xml:space="preserve"> SEQ Figure \* ARABIC </w:instrText>
      </w:r>
      <w:r w:rsidRPr="002120F5">
        <w:rPr>
          <w:b w:val="0"/>
          <w:sz w:val="20"/>
          <w:szCs w:val="20"/>
        </w:rPr>
        <w:fldChar w:fldCharType="separate"/>
      </w:r>
      <w:r w:rsidRPr="002120F5">
        <w:rPr>
          <w:b w:val="0"/>
          <w:noProof/>
          <w:sz w:val="20"/>
          <w:szCs w:val="20"/>
        </w:rPr>
        <w:t>1</w:t>
      </w:r>
      <w:r w:rsidRPr="002120F5">
        <w:rPr>
          <w:b w:val="0"/>
          <w:noProof/>
          <w:sz w:val="20"/>
          <w:szCs w:val="20"/>
        </w:rPr>
        <w:fldChar w:fldCharType="end"/>
      </w:r>
      <w:bookmarkEnd w:id="3"/>
      <w:r w:rsidRPr="002120F5">
        <w:rPr>
          <w:b w:val="0"/>
          <w:sz w:val="20"/>
          <w:szCs w:val="20"/>
        </w:rPr>
        <w:t>.</w:t>
      </w:r>
      <w:proofErr w:type="gramEnd"/>
      <w:r w:rsidRPr="002120F5">
        <w:rPr>
          <w:b w:val="0"/>
          <w:sz w:val="20"/>
          <w:szCs w:val="20"/>
        </w:rPr>
        <w:t xml:space="preserve"> </w:t>
      </w:r>
      <w:proofErr w:type="gramStart"/>
      <w:r w:rsidRPr="002120F5">
        <w:rPr>
          <w:b w:val="0"/>
          <w:sz w:val="20"/>
          <w:szCs w:val="20"/>
        </w:rPr>
        <w:t>Percentage of High Brightness Bulbs Meeting EISA Standards</w:t>
      </w:r>
      <w:r>
        <w:rPr>
          <w:b w:val="0"/>
          <w:sz w:val="20"/>
          <w:szCs w:val="20"/>
        </w:rPr>
        <w:t>.</w:t>
      </w:r>
      <w:proofErr w:type="gramEnd"/>
      <w:r>
        <w:rPr>
          <w:b w:val="0"/>
          <w:sz w:val="20"/>
          <w:szCs w:val="20"/>
        </w:rPr>
        <w:t xml:space="preserve"> </w:t>
      </w:r>
      <w:r w:rsidRPr="002120F5">
        <w:rPr>
          <w:b w:val="0"/>
          <w:i/>
          <w:sz w:val="20"/>
          <w:szCs w:val="20"/>
        </w:rPr>
        <w:t xml:space="preserve">Source: </w:t>
      </w:r>
      <w:r w:rsidRPr="002120F5">
        <w:rPr>
          <w:b w:val="0"/>
          <w:sz w:val="20"/>
          <w:szCs w:val="20"/>
        </w:rPr>
        <w:t>DNV KEMA 2013; KEMA 2010</w:t>
      </w:r>
      <w:r>
        <w:t>.</w:t>
      </w:r>
      <w:r w:rsidRPr="002120F5">
        <w:t xml:space="preserve">  </w:t>
      </w:r>
      <w:r>
        <w:t xml:space="preserve"> </w:t>
      </w:r>
    </w:p>
    <w:p w14:paraId="4E11652C" w14:textId="047529DF" w:rsidR="005411C4" w:rsidRDefault="0078285B" w:rsidP="005411C4">
      <w:pPr>
        <w:pStyle w:val="FigureTitle"/>
        <w:keepNext/>
        <w:ind w:firstLine="0"/>
      </w:pPr>
      <w:r>
        <w:t xml:space="preserve">           </w:t>
      </w:r>
      <w:r>
        <w:tab/>
      </w:r>
    </w:p>
    <w:p w14:paraId="19EAAD5E" w14:textId="77777777" w:rsidR="000D0816" w:rsidRDefault="001B0F23" w:rsidP="00D508DA">
      <w:pPr>
        <w:pStyle w:val="Heading2"/>
      </w:pPr>
      <w:r w:rsidRPr="001B0F23">
        <w:t xml:space="preserve">Medium High Brightness MSB Incandescent A-Lamps (1050-1489 lumens). </w:t>
      </w:r>
    </w:p>
    <w:p w14:paraId="38FE97B3" w14:textId="2485D8ED" w:rsidR="000D0816" w:rsidRDefault="001B0F23" w:rsidP="00892113">
      <w:pPr>
        <w:jc w:val="left"/>
      </w:pPr>
      <w:r w:rsidRPr="001B0F23">
        <w:t>The standard for medium high brightness (1050—1489 lumens) MSB incandescent A-lamps went into effect on January 1, 2013</w:t>
      </w:r>
      <w:r w:rsidR="002C3606">
        <w:t xml:space="preserve"> (2012, in California). </w:t>
      </w:r>
      <w:r w:rsidR="0026382A">
        <w:t xml:space="preserve">Changes in these </w:t>
      </w:r>
      <w:r w:rsidR="002C3606">
        <w:t xml:space="preserve">bulbs are similar to those in the high brightness category, but on a delayed trajectory. </w:t>
      </w:r>
      <w:r w:rsidR="000D0816">
        <w:t>While data on this group is more limited, preliminary findings suggest</w:t>
      </w:r>
      <w:r w:rsidR="00BC2999">
        <w:t xml:space="preserve"> these bulbs were also still available months after the initiation of the phase-in period. For example, six </w:t>
      </w:r>
      <w:r w:rsidR="0018377C" w:rsidRPr="005722F2">
        <w:t>months after the 75-watt EISA standard went into place, 75-watt incandescent bulbs were still on the shelves at 100% of program retailers</w:t>
      </w:r>
      <w:r w:rsidR="0018377C" w:rsidRPr="0018377C">
        <w:t xml:space="preserve"> </w:t>
      </w:r>
      <w:r w:rsidR="0018377C">
        <w:t xml:space="preserve">visited in the </w:t>
      </w:r>
      <w:proofErr w:type="spellStart"/>
      <w:r w:rsidR="0018377C">
        <w:t>ComEd</w:t>
      </w:r>
      <w:proofErr w:type="spellEnd"/>
      <w:r w:rsidR="0018377C">
        <w:t xml:space="preserve"> study</w:t>
      </w:r>
      <w:r w:rsidR="0018377C" w:rsidRPr="005722F2">
        <w:t>.</w:t>
      </w:r>
    </w:p>
    <w:p w14:paraId="7BA2D73E" w14:textId="0F090CC8" w:rsidR="0018377C" w:rsidRDefault="0026382A" w:rsidP="0026382A">
      <w:pPr>
        <w:jc w:val="left"/>
      </w:pPr>
      <w:r w:rsidRPr="0026382A">
        <w:lastRenderedPageBreak/>
        <w:t xml:space="preserve">Only 12 </w:t>
      </w:r>
      <w:r>
        <w:t>%</w:t>
      </w:r>
      <w:r w:rsidRPr="0026382A">
        <w:t xml:space="preserve"> of lamps in this category in Northwest retail stores met the relevant EISA standard at the time of the 2012 shelf surveys (up from 2% in 2011</w:t>
      </w:r>
      <w:r w:rsidR="0018377C">
        <w:t xml:space="preserve">, </w:t>
      </w:r>
      <w:r w:rsidR="0018377C">
        <w:fldChar w:fldCharType="begin"/>
      </w:r>
      <w:r w:rsidR="0018377C">
        <w:instrText xml:space="preserve"> REF _Ref383607656 \h </w:instrText>
      </w:r>
      <w:r w:rsidR="0018377C">
        <w:fldChar w:fldCharType="separate"/>
      </w:r>
      <w:r w:rsidR="00892113">
        <w:t xml:space="preserve">Figure </w:t>
      </w:r>
      <w:r w:rsidR="00892113">
        <w:rPr>
          <w:noProof/>
        </w:rPr>
        <w:t>2</w:t>
      </w:r>
      <w:r w:rsidR="0018377C">
        <w:fldChar w:fldCharType="end"/>
      </w:r>
      <w:r w:rsidRPr="0026382A">
        <w:t xml:space="preserve">). This is slightly higher than the percentage of EISA-qualifying high brightness MSB incandescent A-lamps in stock in Northwest retail stores at the time of the 2011 shelf surveys (late 2011/early 2012), just as the standard for those lamps went into effect (5%). </w:t>
      </w:r>
    </w:p>
    <w:p w14:paraId="16552BFE" w14:textId="5447FB16" w:rsidR="0026382A" w:rsidRDefault="0018377C" w:rsidP="0026382A">
      <w:pPr>
        <w:jc w:val="left"/>
      </w:pPr>
      <w:r>
        <w:t>In California, m</w:t>
      </w:r>
      <w:r w:rsidR="0026382A" w:rsidRPr="0026382A">
        <w:t>ass merchandise stores increased their stocking of EISA-compliant medium high brightness general purpose A-lamps from zero percent in Spring 2009 to 39</w:t>
      </w:r>
      <w:r>
        <w:t xml:space="preserve">% </w:t>
      </w:r>
      <w:r w:rsidR="0026382A" w:rsidRPr="0026382A">
        <w:t>in Fall 2011</w:t>
      </w:r>
      <w:r>
        <w:t xml:space="preserve"> (</w:t>
      </w:r>
      <w:r>
        <w:fldChar w:fldCharType="begin"/>
      </w:r>
      <w:r>
        <w:instrText xml:space="preserve"> REF _Ref383607656 \h </w:instrText>
      </w:r>
      <w:r>
        <w:fldChar w:fldCharType="separate"/>
      </w:r>
      <w:r w:rsidR="00892113">
        <w:t xml:space="preserve">Figure </w:t>
      </w:r>
      <w:r w:rsidR="00892113">
        <w:rPr>
          <w:noProof/>
        </w:rPr>
        <w:t>2</w:t>
      </w:r>
      <w:r>
        <w:fldChar w:fldCharType="end"/>
      </w:r>
      <w:r>
        <w:t>)</w:t>
      </w:r>
      <w:r w:rsidR="0026382A" w:rsidRPr="0026382A">
        <w:t xml:space="preserve">. By </w:t>
      </w:r>
      <w:proofErr w:type="gramStart"/>
      <w:r w:rsidR="0026382A" w:rsidRPr="0026382A">
        <w:t>Summer</w:t>
      </w:r>
      <w:proofErr w:type="gramEnd"/>
      <w:r w:rsidR="0026382A" w:rsidRPr="0026382A">
        <w:t xml:space="preserve"> 2012</w:t>
      </w:r>
      <w:r w:rsidR="0026382A">
        <w:t xml:space="preserve"> (</w:t>
      </w:r>
      <w:r>
        <w:t xml:space="preserve">six months </w:t>
      </w:r>
      <w:r w:rsidR="0026382A">
        <w:t>after AB1109 went into effect)</w:t>
      </w:r>
      <w:r w:rsidR="0026382A" w:rsidRPr="0026382A">
        <w:t>, the proportion of EISA-compliant lamps was up to 87</w:t>
      </w:r>
      <w:r w:rsidR="00DA2A7E">
        <w:t xml:space="preserve">% </w:t>
      </w:r>
      <w:r w:rsidR="0026382A" w:rsidRPr="0026382A">
        <w:t>of all lamps in this lumen category.</w:t>
      </w:r>
      <w:r w:rsidR="0026382A">
        <w:t xml:space="preserve"> </w:t>
      </w:r>
      <w:r w:rsidR="0026382A" w:rsidRPr="0026382A">
        <w:t xml:space="preserve">Across all stores in </w:t>
      </w:r>
      <w:r w:rsidR="0026382A">
        <w:t xml:space="preserve">the California </w:t>
      </w:r>
      <w:r w:rsidR="0026382A" w:rsidRPr="0026382A">
        <w:t>sample, EISA-compliant medium high brightness general purpose A-lamps represented 79</w:t>
      </w:r>
      <w:r w:rsidR="0026382A">
        <w:t>%</w:t>
      </w:r>
      <w:r w:rsidR="0026382A" w:rsidRPr="0026382A">
        <w:t xml:space="preserve"> of medium h</w:t>
      </w:r>
      <w:r w:rsidR="0026382A">
        <w:t xml:space="preserve">igh brightness A-lamps in </w:t>
      </w:r>
      <w:proofErr w:type="gramStart"/>
      <w:r w:rsidR="0026382A">
        <w:t>Summe</w:t>
      </w:r>
      <w:r w:rsidR="0026382A" w:rsidRPr="0026382A">
        <w:t>r</w:t>
      </w:r>
      <w:proofErr w:type="gramEnd"/>
      <w:r w:rsidR="0026382A">
        <w:t xml:space="preserve"> </w:t>
      </w:r>
      <w:r w:rsidR="0026382A" w:rsidRPr="0026382A">
        <w:t>2</w:t>
      </w:r>
      <w:r w:rsidR="0026382A">
        <w:t xml:space="preserve">012 compared to just 18% </w:t>
      </w:r>
      <w:r w:rsidR="0026382A" w:rsidRPr="0026382A">
        <w:t>in Fall 2011 and zero percent in Spring 2009. These results suggest that AB 1109 and/or EISA regulations have impacted the stocking patterns of medium high brightness general purpose A-lamps in California big box stores.</w:t>
      </w:r>
    </w:p>
    <w:p w14:paraId="57CA3D8E" w14:textId="77777777" w:rsidR="0026382A" w:rsidRDefault="0026382A" w:rsidP="001B0F23">
      <w:pPr>
        <w:jc w:val="left"/>
      </w:pPr>
    </w:p>
    <w:p w14:paraId="04A86242" w14:textId="5B568770" w:rsidR="0026382A" w:rsidRDefault="0026382A" w:rsidP="00D85C28">
      <w:pPr>
        <w:pStyle w:val="FigureTitle"/>
        <w:keepNext/>
        <w:ind w:firstLine="0"/>
        <w:jc w:val="left"/>
      </w:pPr>
    </w:p>
    <w:p w14:paraId="2196BFA9" w14:textId="77777777" w:rsidR="00951251" w:rsidRDefault="00951251" w:rsidP="002120F5">
      <w:pPr>
        <w:ind w:firstLine="0"/>
        <w:rPr>
          <w:sz w:val="20"/>
          <w:szCs w:val="20"/>
        </w:rPr>
      </w:pPr>
      <w:bookmarkStart w:id="4" w:name="_Ref383607656"/>
      <w:r>
        <w:rPr>
          <w:noProof/>
          <w:sz w:val="20"/>
          <w:szCs w:val="20"/>
        </w:rPr>
        <w:drawing>
          <wp:inline distT="0" distB="0" distL="0" distR="0" wp14:anchorId="21FA08AE" wp14:editId="065A9017">
            <wp:extent cx="4747687" cy="2779776"/>
            <wp:effectExtent l="0" t="0" r="0" b="1905"/>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747687" cy="2779776"/>
                    </a:xfrm>
                    <a:prstGeom prst="rect">
                      <a:avLst/>
                    </a:prstGeom>
                    <a:noFill/>
                  </pic:spPr>
                </pic:pic>
              </a:graphicData>
            </a:graphic>
          </wp:inline>
        </w:drawing>
      </w:r>
    </w:p>
    <w:p w14:paraId="4B289E51" w14:textId="2F43866B" w:rsidR="001B0F23" w:rsidRDefault="002120F5" w:rsidP="002120F5">
      <w:pPr>
        <w:ind w:firstLine="0"/>
      </w:pPr>
      <w:proofErr w:type="gramStart"/>
      <w:r w:rsidRPr="002120F5">
        <w:rPr>
          <w:sz w:val="20"/>
          <w:szCs w:val="20"/>
        </w:rPr>
        <w:t xml:space="preserve">Figure </w:t>
      </w:r>
      <w:r w:rsidRPr="002120F5">
        <w:rPr>
          <w:sz w:val="20"/>
          <w:szCs w:val="20"/>
        </w:rPr>
        <w:fldChar w:fldCharType="begin"/>
      </w:r>
      <w:r w:rsidRPr="002120F5">
        <w:rPr>
          <w:sz w:val="20"/>
          <w:szCs w:val="20"/>
        </w:rPr>
        <w:instrText xml:space="preserve"> SEQ Figure \* ARABIC </w:instrText>
      </w:r>
      <w:r w:rsidRPr="002120F5">
        <w:rPr>
          <w:sz w:val="20"/>
          <w:szCs w:val="20"/>
        </w:rPr>
        <w:fldChar w:fldCharType="separate"/>
      </w:r>
      <w:r w:rsidRPr="002120F5">
        <w:rPr>
          <w:sz w:val="20"/>
          <w:szCs w:val="20"/>
        </w:rPr>
        <w:t>2</w:t>
      </w:r>
      <w:r w:rsidRPr="002120F5">
        <w:rPr>
          <w:sz w:val="20"/>
          <w:szCs w:val="20"/>
        </w:rPr>
        <w:fldChar w:fldCharType="end"/>
      </w:r>
      <w:bookmarkEnd w:id="4"/>
      <w:r w:rsidRPr="002120F5">
        <w:rPr>
          <w:sz w:val="20"/>
          <w:szCs w:val="20"/>
        </w:rPr>
        <w:t>.</w:t>
      </w:r>
      <w:proofErr w:type="gramEnd"/>
      <w:r w:rsidRPr="002120F5">
        <w:rPr>
          <w:sz w:val="20"/>
          <w:szCs w:val="20"/>
        </w:rPr>
        <w:t xml:space="preserve"> </w:t>
      </w:r>
      <w:proofErr w:type="gramStart"/>
      <w:r w:rsidRPr="002120F5">
        <w:rPr>
          <w:sz w:val="20"/>
          <w:szCs w:val="20"/>
        </w:rPr>
        <w:t>Percentage of Medium High Brightness Bulbs Meeting EISA Standards</w:t>
      </w:r>
      <w:r>
        <w:rPr>
          <w:i/>
          <w:sz w:val="20"/>
          <w:szCs w:val="20"/>
        </w:rPr>
        <w:t>.</w:t>
      </w:r>
      <w:proofErr w:type="gramEnd"/>
      <w:r w:rsidRPr="002120F5">
        <w:rPr>
          <w:i/>
          <w:sz w:val="20"/>
          <w:szCs w:val="20"/>
        </w:rPr>
        <w:t xml:space="preserve"> </w:t>
      </w:r>
      <w:r>
        <w:rPr>
          <w:i/>
          <w:sz w:val="20"/>
          <w:szCs w:val="20"/>
        </w:rPr>
        <w:t xml:space="preserve">Source: </w:t>
      </w:r>
      <w:r w:rsidR="00B22251" w:rsidRPr="002120F5">
        <w:rPr>
          <w:sz w:val="20"/>
          <w:szCs w:val="20"/>
        </w:rPr>
        <w:t>DNV KEMA 2013; KEMA 2010</w:t>
      </w:r>
      <w:r w:rsidRPr="002120F5">
        <w:rPr>
          <w:b/>
          <w:sz w:val="20"/>
          <w:szCs w:val="20"/>
        </w:rPr>
        <w:t>.</w:t>
      </w:r>
    </w:p>
    <w:p w14:paraId="704E71A6" w14:textId="77777777" w:rsidR="001B0F23" w:rsidRPr="001B0F23" w:rsidRDefault="001B0F23" w:rsidP="0018377C">
      <w:pPr>
        <w:ind w:firstLine="0"/>
        <w:jc w:val="left"/>
      </w:pPr>
    </w:p>
    <w:p w14:paraId="513151C4" w14:textId="77777777" w:rsidR="002C3606" w:rsidRDefault="001B0F23" w:rsidP="00D508DA">
      <w:pPr>
        <w:pStyle w:val="Heading2"/>
      </w:pPr>
      <w:proofErr w:type="gramStart"/>
      <w:r w:rsidRPr="001B0F23">
        <w:t>Medium Low Brightness and Low Brightness MSB Incandescent A-Lamps.</w:t>
      </w:r>
      <w:proofErr w:type="gramEnd"/>
      <w:r w:rsidRPr="001B0F23">
        <w:t xml:space="preserve"> </w:t>
      </w:r>
    </w:p>
    <w:p w14:paraId="0C158DA1" w14:textId="17549819" w:rsidR="00D508DA" w:rsidRDefault="007407DB" w:rsidP="00D508DA">
      <w:pPr>
        <w:jc w:val="left"/>
      </w:pPr>
      <w:r>
        <w:t>At the time of this study, shelf stocking studies have not been released for bulbs phased out by</w:t>
      </w:r>
      <w:r w:rsidR="001B0F23" w:rsidRPr="001B0F23">
        <w:t xml:space="preserve"> EISA in 2014—medium low brightness (750-1049 lumens) and low</w:t>
      </w:r>
      <w:r>
        <w:t xml:space="preserve"> brightness (310-749 lumens) bulbs. However, </w:t>
      </w:r>
      <w:r w:rsidR="000D0816">
        <w:t xml:space="preserve">the recent NEEA reports that </w:t>
      </w:r>
      <w:r w:rsidR="001B0F23" w:rsidRPr="001B0F23">
        <w:t>approximately 15 to 16 percent of all lamps stocked in Northwest retail stores in each lumen bin met the EISA standard in 2012</w:t>
      </w:r>
      <w:r>
        <w:t>, two years prior to EISA phase out</w:t>
      </w:r>
      <w:r w:rsidR="001B0F23" w:rsidRPr="001B0F23">
        <w:t xml:space="preserve">. </w:t>
      </w:r>
      <w:r>
        <w:t xml:space="preserve">Additionally, </w:t>
      </w:r>
      <w:r w:rsidR="001B0F23" w:rsidRPr="001B0F23">
        <w:t xml:space="preserve">the </w:t>
      </w:r>
      <w:r>
        <w:t xml:space="preserve">total </w:t>
      </w:r>
      <w:r w:rsidR="001B0F23" w:rsidRPr="001B0F23">
        <w:t>number of medium low brightness MSB incandescent A-lamps stocked dropped substantially between years (from nearly 52,000 lamps in 2011 to less than 19,000</w:t>
      </w:r>
      <w:r>
        <w:t xml:space="preserve"> in 2012</w:t>
      </w:r>
      <w:r w:rsidR="002C3606">
        <w:t>)</w:t>
      </w:r>
      <w:r>
        <w:t>.</w:t>
      </w:r>
      <w:r w:rsidR="001B0F23" w:rsidRPr="001B0F23">
        <w:t xml:space="preserve"> </w:t>
      </w:r>
      <w:r>
        <w:t xml:space="preserve">This decrease may be indicative of </w:t>
      </w:r>
      <w:r w:rsidR="001B0F23" w:rsidRPr="001B0F23">
        <w:t>an overall shift away from traditional incandescent technologies in Northwest retail stores</w:t>
      </w:r>
      <w:r>
        <w:t xml:space="preserve"> as a result of EISA requirements</w:t>
      </w:r>
      <w:r w:rsidR="001B0F23" w:rsidRPr="001B0F23">
        <w:t>.</w:t>
      </w:r>
    </w:p>
    <w:p w14:paraId="235BC1A3" w14:textId="77777777" w:rsidR="00D508DA" w:rsidRDefault="00D508DA" w:rsidP="00D508DA">
      <w:pPr>
        <w:jc w:val="left"/>
      </w:pPr>
    </w:p>
    <w:p w14:paraId="299B767F" w14:textId="75BAA91F" w:rsidR="000C0FA4" w:rsidRDefault="000C0FA4" w:rsidP="00D508DA">
      <w:pPr>
        <w:pStyle w:val="Heading2"/>
      </w:pPr>
      <w:r>
        <w:lastRenderedPageBreak/>
        <w:t>Percent of Lamp</w:t>
      </w:r>
      <w:r w:rsidR="00184213">
        <w:t xml:space="preserve"> Types</w:t>
      </w:r>
      <w:r>
        <w:t xml:space="preserve"> Stocked</w:t>
      </w:r>
    </w:p>
    <w:p w14:paraId="4C1DB782" w14:textId="4F8A1385" w:rsidR="000C0FA4" w:rsidRDefault="000C0FA4" w:rsidP="00D508DA">
      <w:pPr>
        <w:pStyle w:val="Default"/>
        <w:ind w:firstLine="720"/>
        <w:rPr>
          <w:sz w:val="23"/>
          <w:szCs w:val="23"/>
        </w:rPr>
      </w:pPr>
      <w:r>
        <w:rPr>
          <w:sz w:val="23"/>
          <w:szCs w:val="23"/>
        </w:rPr>
        <w:t xml:space="preserve">The </w:t>
      </w:r>
      <w:r w:rsidR="00184213">
        <w:rPr>
          <w:sz w:val="23"/>
          <w:szCs w:val="23"/>
        </w:rPr>
        <w:t xml:space="preserve">relative </w:t>
      </w:r>
      <w:r>
        <w:rPr>
          <w:sz w:val="23"/>
          <w:szCs w:val="23"/>
        </w:rPr>
        <w:t xml:space="preserve">percentage </w:t>
      </w:r>
      <w:r w:rsidR="00184213">
        <w:rPr>
          <w:sz w:val="23"/>
          <w:szCs w:val="23"/>
        </w:rPr>
        <w:t>of lamp types</w:t>
      </w:r>
      <w:r>
        <w:rPr>
          <w:sz w:val="23"/>
          <w:szCs w:val="23"/>
        </w:rPr>
        <w:t xml:space="preserve"> observed in retail stores is an indicator of the availability of different lamp types</w:t>
      </w:r>
      <w:r w:rsidR="00184213">
        <w:rPr>
          <w:sz w:val="23"/>
          <w:szCs w:val="23"/>
        </w:rPr>
        <w:t>.</w:t>
      </w:r>
      <w:r>
        <w:rPr>
          <w:sz w:val="23"/>
          <w:szCs w:val="23"/>
        </w:rPr>
        <w:t xml:space="preserve"> These data are available for</w:t>
      </w:r>
      <w:r w:rsidR="000507E9">
        <w:rPr>
          <w:sz w:val="23"/>
          <w:szCs w:val="23"/>
        </w:rPr>
        <w:t xml:space="preserve"> the Northwest region in</w:t>
      </w:r>
      <w:r>
        <w:rPr>
          <w:sz w:val="23"/>
          <w:szCs w:val="23"/>
        </w:rPr>
        <w:t xml:space="preserve"> 2011 and </w:t>
      </w:r>
      <w:proofErr w:type="gramStart"/>
      <w:r>
        <w:rPr>
          <w:sz w:val="23"/>
          <w:szCs w:val="23"/>
        </w:rPr>
        <w:t>2012</w:t>
      </w:r>
      <w:r w:rsidR="000507E9">
        <w:rPr>
          <w:sz w:val="23"/>
          <w:szCs w:val="23"/>
        </w:rPr>
        <w:t>,</w:t>
      </w:r>
      <w:proofErr w:type="gramEnd"/>
      <w:r w:rsidR="000507E9">
        <w:rPr>
          <w:sz w:val="23"/>
          <w:szCs w:val="23"/>
        </w:rPr>
        <w:t xml:space="preserve"> and for North and South Carolina for 2012</w:t>
      </w:r>
      <w:r>
        <w:rPr>
          <w:sz w:val="23"/>
          <w:szCs w:val="23"/>
        </w:rPr>
        <w:t>. Based on these data, results suggest that:</w:t>
      </w:r>
    </w:p>
    <w:p w14:paraId="2DA105F0" w14:textId="77777777" w:rsidR="002120F5" w:rsidRDefault="002120F5" w:rsidP="00D508DA">
      <w:pPr>
        <w:pStyle w:val="Default"/>
        <w:ind w:firstLine="720"/>
        <w:rPr>
          <w:sz w:val="23"/>
          <w:szCs w:val="23"/>
        </w:rPr>
      </w:pPr>
    </w:p>
    <w:p w14:paraId="2B15DA1C" w14:textId="69528D83" w:rsidR="000C0FA4" w:rsidRPr="002120F5" w:rsidRDefault="00DB64F7" w:rsidP="002120F5">
      <w:pPr>
        <w:pStyle w:val="ListBullet"/>
        <w:numPr>
          <w:ilvl w:val="0"/>
          <w:numId w:val="26"/>
        </w:numPr>
      </w:pPr>
      <w:r w:rsidRPr="002120F5">
        <w:t>A</w:t>
      </w:r>
      <w:r w:rsidR="000C0FA4" w:rsidRPr="002120F5">
        <w:t xml:space="preserve">lthough their share of total lamp stock declined overall between 2011 and 2012 (from 78% of all lamps stocked in the </w:t>
      </w:r>
      <w:r w:rsidR="00184213" w:rsidRPr="002120F5">
        <w:t>Nor</w:t>
      </w:r>
      <w:r w:rsidR="00717CE4" w:rsidRPr="002120F5">
        <w:t>th</w:t>
      </w:r>
      <w:r w:rsidR="00184213" w:rsidRPr="002120F5">
        <w:t xml:space="preserve">west </w:t>
      </w:r>
      <w:r w:rsidR="000C0FA4" w:rsidRPr="002120F5">
        <w:t>retail stores to 70%</w:t>
      </w:r>
      <w:r w:rsidR="00184213" w:rsidRPr="002120F5">
        <w:t>; 50% in the 2012 the Carolinas</w:t>
      </w:r>
      <w:r w:rsidR="000C0FA4" w:rsidRPr="002120F5">
        <w:t>)</w:t>
      </w:r>
      <w:r w:rsidRPr="002120F5">
        <w:t>, incandescent lamps still dominated retail store inventories.</w:t>
      </w:r>
      <w:r w:rsidR="000C0FA4" w:rsidRPr="002120F5">
        <w:t xml:space="preserve"> </w:t>
      </w:r>
    </w:p>
    <w:p w14:paraId="314BFFB7" w14:textId="1F0BC5E4" w:rsidR="00184213" w:rsidRPr="002120F5" w:rsidRDefault="000C0FA4" w:rsidP="002120F5">
      <w:pPr>
        <w:pStyle w:val="ListBullet"/>
        <w:numPr>
          <w:ilvl w:val="0"/>
          <w:numId w:val="26"/>
        </w:numPr>
      </w:pPr>
      <w:r w:rsidRPr="002120F5">
        <w:t>CFLs grew to 28</w:t>
      </w:r>
      <w:r w:rsidR="00DB64F7" w:rsidRPr="002120F5">
        <w:t xml:space="preserve">% </w:t>
      </w:r>
      <w:r w:rsidRPr="002120F5">
        <w:t xml:space="preserve">of total </w:t>
      </w:r>
      <w:r w:rsidR="00184213" w:rsidRPr="002120F5">
        <w:t>northwest</w:t>
      </w:r>
      <w:r w:rsidRPr="002120F5">
        <w:t xml:space="preserve"> lamp stock in 2012 (up from 20% in 2011). </w:t>
      </w:r>
      <w:r w:rsidR="00184213" w:rsidRPr="002120F5">
        <w:t xml:space="preserve">CFLs represented 30% of 2012 lamp stock in the Carolinas.  </w:t>
      </w:r>
    </w:p>
    <w:p w14:paraId="005D1C86" w14:textId="4B9EE38E" w:rsidR="000C0FA4" w:rsidRPr="002120F5" w:rsidRDefault="00DB64F7" w:rsidP="002120F5">
      <w:pPr>
        <w:pStyle w:val="ListBullet"/>
        <w:numPr>
          <w:ilvl w:val="0"/>
          <w:numId w:val="26"/>
        </w:numPr>
      </w:pPr>
      <w:r w:rsidRPr="002120F5">
        <w:t>T</w:t>
      </w:r>
      <w:r w:rsidR="00184213" w:rsidRPr="002120F5">
        <w:t>h</w:t>
      </w:r>
      <w:r w:rsidRPr="002120F5">
        <w:t>e</w:t>
      </w:r>
      <w:r w:rsidR="00184213" w:rsidRPr="002120F5">
        <w:t xml:space="preserve"> distribution widely varied by retail channel. </w:t>
      </w:r>
      <w:r w:rsidR="000C0FA4" w:rsidRPr="002120F5">
        <w:t xml:space="preserve">In </w:t>
      </w:r>
      <w:r w:rsidR="00184213" w:rsidRPr="002120F5">
        <w:t xml:space="preserve">Northwest </w:t>
      </w:r>
      <w:r w:rsidR="000C0FA4" w:rsidRPr="002120F5">
        <w:t>big box stores, CFLs represented 32</w:t>
      </w:r>
      <w:r w:rsidRPr="002120F5">
        <w:t>%</w:t>
      </w:r>
      <w:r w:rsidR="000C0FA4" w:rsidRPr="002120F5">
        <w:t xml:space="preserve"> of total lamp stock and in non- big box stores, 23</w:t>
      </w:r>
      <w:r w:rsidRPr="002120F5">
        <w:t>%</w:t>
      </w:r>
      <w:r w:rsidR="000C0FA4" w:rsidRPr="002120F5">
        <w:t xml:space="preserve">. </w:t>
      </w:r>
      <w:r w:rsidR="00184213" w:rsidRPr="002120F5">
        <w:t>In the Carolinas, warehouse stores stocked a far greater percent of CFLs (58%) than the average, while discount stores had a higher percent of incandescent packages (63%).</w:t>
      </w:r>
    </w:p>
    <w:p w14:paraId="0AD55088" w14:textId="77777777" w:rsidR="000C0FA4" w:rsidRDefault="000C0FA4" w:rsidP="001B0F23">
      <w:pPr>
        <w:jc w:val="left"/>
      </w:pPr>
    </w:p>
    <w:p w14:paraId="07B83BF8" w14:textId="69642F06" w:rsidR="00E16AA2" w:rsidRDefault="00E16AA2" w:rsidP="001B0F23">
      <w:pPr>
        <w:jc w:val="left"/>
      </w:pPr>
      <w:r>
        <w:t>Similarly, in NEEA studies, t</w:t>
      </w:r>
      <w:r w:rsidRPr="001B0F23">
        <w:t>he quantity of high brightness MSB incandescent A-lamps on retail shelves dropped by a factor of 10 between 2011 and 2012, suggesting a general phase-out of these types of lamps in Northwest retail stores</w:t>
      </w:r>
      <w:r>
        <w:t>.</w:t>
      </w:r>
    </w:p>
    <w:p w14:paraId="5C5FA637" w14:textId="77777777" w:rsidR="001B0F23" w:rsidRDefault="001B0F23" w:rsidP="00FD22C5">
      <w:pPr>
        <w:jc w:val="left"/>
      </w:pPr>
    </w:p>
    <w:p w14:paraId="3BDB111E" w14:textId="4998E97D" w:rsidR="001738DF" w:rsidRDefault="001738DF" w:rsidP="00FD22C5">
      <w:pPr>
        <w:pStyle w:val="Heading1"/>
        <w:jc w:val="left"/>
      </w:pPr>
      <w:r>
        <w:t>Consumer Perspective</w:t>
      </w:r>
    </w:p>
    <w:p w14:paraId="5E2C843D" w14:textId="77777777" w:rsidR="001738DF" w:rsidRDefault="001738DF" w:rsidP="00FD22C5">
      <w:pPr>
        <w:widowControl w:val="0"/>
        <w:jc w:val="left"/>
      </w:pPr>
    </w:p>
    <w:p w14:paraId="6CD9F7EB" w14:textId="77777777" w:rsidR="0007777D" w:rsidRDefault="0007777D" w:rsidP="0007777D">
      <w:pPr>
        <w:pStyle w:val="Heading2"/>
        <w:jc w:val="left"/>
      </w:pPr>
      <w:r>
        <w:t>Consumer Awareness of EISA</w:t>
      </w:r>
    </w:p>
    <w:p w14:paraId="0108D176" w14:textId="77777777" w:rsidR="0007777D" w:rsidRDefault="0007777D" w:rsidP="00FD22C5">
      <w:pPr>
        <w:widowControl w:val="0"/>
        <w:jc w:val="left"/>
      </w:pPr>
    </w:p>
    <w:p w14:paraId="4A583C50" w14:textId="1A6B099C" w:rsidR="00933752" w:rsidRDefault="00794292" w:rsidP="00FD22C5">
      <w:pPr>
        <w:widowControl w:val="0"/>
        <w:jc w:val="left"/>
      </w:pPr>
      <w:r>
        <w:t xml:space="preserve">As shown in </w:t>
      </w:r>
      <w:r>
        <w:fldChar w:fldCharType="begin"/>
      </w:r>
      <w:r>
        <w:instrText xml:space="preserve"> REF _Ref319935787 \h </w:instrText>
      </w:r>
      <w:r>
        <w:fldChar w:fldCharType="separate"/>
      </w:r>
      <w:r w:rsidR="00892113">
        <w:t xml:space="preserve">Figure </w:t>
      </w:r>
      <w:r w:rsidR="00892113">
        <w:rPr>
          <w:noProof/>
        </w:rPr>
        <w:t>3</w:t>
      </w:r>
      <w:r>
        <w:fldChar w:fldCharType="end"/>
      </w:r>
      <w:r>
        <w:t>, consumer awareness of EISA varies significantly across the country</w:t>
      </w:r>
      <w:r w:rsidR="00B00999">
        <w:t>, but</w:t>
      </w:r>
      <w:r w:rsidR="00DA2A7E">
        <w:t xml:space="preserve"> in general awareness</w:t>
      </w:r>
      <w:r w:rsidR="00B00999">
        <w:t xml:space="preserve"> remained</w:t>
      </w:r>
      <w:r w:rsidR="00776390">
        <w:t xml:space="preserve"> relatively low</w:t>
      </w:r>
      <w:r w:rsidR="00B00999">
        <w:t xml:space="preserve"> prior to</w:t>
      </w:r>
      <w:r w:rsidR="00B05F10">
        <w:t xml:space="preserve"> the EISA phase-</w:t>
      </w:r>
      <w:r w:rsidR="00B00999">
        <w:t>in</w:t>
      </w:r>
      <w:r>
        <w:t>.</w:t>
      </w:r>
      <w:r w:rsidR="004A4FCF">
        <w:t xml:space="preserve"> Among the </w:t>
      </w:r>
      <w:r w:rsidR="00C16588" w:rsidRPr="00D464D8">
        <w:t>PacifiCorp</w:t>
      </w:r>
      <w:r w:rsidR="004A4FCF" w:rsidRPr="00D464D8">
        <w:t xml:space="preserve"> customer surveys, which were all conducted </w:t>
      </w:r>
      <w:r w:rsidR="008A693F" w:rsidRPr="00D464D8">
        <w:t>in fall 2011</w:t>
      </w:r>
      <w:r w:rsidR="004A4FCF" w:rsidRPr="00D464D8">
        <w:t xml:space="preserve"> and used </w:t>
      </w:r>
      <w:r w:rsidR="00DA2A7E">
        <w:t>identical language</w:t>
      </w:r>
      <w:r w:rsidR="006B7FB3" w:rsidRPr="00D464D8">
        <w:t>;</w:t>
      </w:r>
      <w:r w:rsidR="004A4FCF" w:rsidRPr="00D464D8">
        <w:t xml:space="preserve"> awareness was highest in Wyoming </w:t>
      </w:r>
      <w:r w:rsidR="005E01F2" w:rsidRPr="00D464D8">
        <w:t xml:space="preserve">(64%) </w:t>
      </w:r>
      <w:r w:rsidR="004A4FCF" w:rsidRPr="00D464D8">
        <w:t xml:space="preserve">and lowest in </w:t>
      </w:r>
      <w:r w:rsidR="00D464D8" w:rsidRPr="00D464D8">
        <w:t>California (45</w:t>
      </w:r>
      <w:r w:rsidR="005E01F2" w:rsidRPr="00D464D8">
        <w:t>%)</w:t>
      </w:r>
      <w:r w:rsidR="004A4FCF" w:rsidRPr="00D464D8">
        <w:t xml:space="preserve">. </w:t>
      </w:r>
      <w:r w:rsidR="005E01F2" w:rsidRPr="00D464D8">
        <w:t>The high awareness in Wyoming</w:t>
      </w:r>
      <w:r w:rsidR="005E01F2">
        <w:t xml:space="preserve"> may reflect the </w:t>
      </w:r>
      <w:r w:rsidR="00DA2A7E">
        <w:t xml:space="preserve">politically </w:t>
      </w:r>
      <w:r w:rsidR="005E01F2">
        <w:t xml:space="preserve">conservative nature of the state, and the awareness of government regulations due to the influence of the extraction (oil and gas) industries. </w:t>
      </w:r>
      <w:r w:rsidR="004E5FAD">
        <w:t xml:space="preserve">Interestingly, consumer awareness in the California service territory of </w:t>
      </w:r>
      <w:r w:rsidR="00EB4E5D">
        <w:t>PacifiCorp</w:t>
      </w:r>
      <w:r w:rsidR="004E5FAD">
        <w:t xml:space="preserve"> – although representing a small portion of the state – was not significantly different than a number of other service territorie</w:t>
      </w:r>
      <w:r w:rsidR="00D930E7">
        <w:t xml:space="preserve">s in states served by </w:t>
      </w:r>
      <w:r w:rsidR="00EB4E5D">
        <w:t>PacifiCorp</w:t>
      </w:r>
      <w:r w:rsidR="00D930E7">
        <w:t xml:space="preserve">, despite the earlier </w:t>
      </w:r>
      <w:r w:rsidR="00C27B1E">
        <w:t>adoption of EISA in California.</w:t>
      </w:r>
    </w:p>
    <w:p w14:paraId="6889CC33" w14:textId="693BBB72" w:rsidR="00933752" w:rsidRDefault="008A693F" w:rsidP="00776390">
      <w:pPr>
        <w:widowControl w:val="0"/>
        <w:jc w:val="left"/>
      </w:pPr>
      <w:r>
        <w:t xml:space="preserve">Consumer awareness </w:t>
      </w:r>
      <w:r w:rsidR="00C16588">
        <w:t xml:space="preserve">across the Northwest (23%), and </w:t>
      </w:r>
      <w:r>
        <w:t xml:space="preserve">in Massachusetts (25%) and </w:t>
      </w:r>
      <w:proofErr w:type="spellStart"/>
      <w:r w:rsidR="00EB4E5D">
        <w:t>ComEd</w:t>
      </w:r>
      <w:proofErr w:type="spellEnd"/>
      <w:r>
        <w:t xml:space="preserve"> (35%)</w:t>
      </w:r>
      <w:r w:rsidR="00C16588">
        <w:t>,</w:t>
      </w:r>
      <w:r>
        <w:t xml:space="preserve"> were even lower. These may reflect the timing of the surveys, as the </w:t>
      </w:r>
      <w:r w:rsidR="00C16588">
        <w:t xml:space="preserve">Northwest and </w:t>
      </w:r>
      <w:r>
        <w:t>Massachusetts stud</w:t>
      </w:r>
      <w:r w:rsidR="00C16588">
        <w:t>ies</w:t>
      </w:r>
      <w:r>
        <w:t xml:space="preserve"> w</w:t>
      </w:r>
      <w:r w:rsidR="00C16588">
        <w:t>ere</w:t>
      </w:r>
      <w:r>
        <w:t xml:space="preserve"> conducted in 2010 and the </w:t>
      </w:r>
      <w:proofErr w:type="spellStart"/>
      <w:r w:rsidR="00EB4E5D">
        <w:t>ComEd</w:t>
      </w:r>
      <w:proofErr w:type="spellEnd"/>
      <w:r>
        <w:t xml:space="preserve"> study in early 2011</w:t>
      </w:r>
      <w:r w:rsidR="0046678E">
        <w:t xml:space="preserve">. </w:t>
      </w:r>
      <w:r w:rsidR="008E3600">
        <w:t>In fact, Massachusetts reported a significant jump in EISA awareness in 2009 (only 18%) to 2010</w:t>
      </w:r>
      <w:r w:rsidR="009F7E62">
        <w:t xml:space="preserve"> (25%)</w:t>
      </w:r>
      <w:r w:rsidR="003616A7">
        <w:t>. New York experienced a similar jump in awareness from 33% in 2011 to 38% in 2012</w:t>
      </w:r>
      <w:r w:rsidR="008E3600">
        <w:t xml:space="preserve">. </w:t>
      </w:r>
      <w:r w:rsidR="00C27B1E">
        <w:t>The results of all these studies</w:t>
      </w:r>
      <w:r w:rsidR="00DA2A7E">
        <w:t xml:space="preserve"> </w:t>
      </w:r>
      <w:r w:rsidR="00C27B1E">
        <w:t>show that consumer awareness</w:t>
      </w:r>
      <w:r w:rsidR="00C16588">
        <w:t xml:space="preserve"> of EISA, even in 201</w:t>
      </w:r>
      <w:r w:rsidR="009F7E62">
        <w:t>2</w:t>
      </w:r>
      <w:r w:rsidR="00C16588">
        <w:t>, remains</w:t>
      </w:r>
      <w:r w:rsidR="00C27B1E">
        <w:t xml:space="preserve"> </w:t>
      </w:r>
      <w:r w:rsidR="00C16588">
        <w:t>relatively</w:t>
      </w:r>
      <w:r w:rsidR="00C27B1E">
        <w:t xml:space="preserve"> low.</w:t>
      </w:r>
      <w:r w:rsidR="0007777D">
        <w:t xml:space="preserve"> </w:t>
      </w:r>
    </w:p>
    <w:p w14:paraId="5149BAF5" w14:textId="77777777" w:rsidR="008F148B" w:rsidRDefault="008F148B" w:rsidP="008F148B">
      <w:pPr>
        <w:pStyle w:val="FigureTitle"/>
        <w:keepNext/>
        <w:ind w:firstLine="0"/>
      </w:pPr>
      <w:r>
        <w:rPr>
          <w:noProof/>
        </w:rPr>
        <w:lastRenderedPageBreak/>
        <mc:AlternateContent>
          <mc:Choice Requires="wps">
            <w:drawing>
              <wp:inline distT="0" distB="0" distL="0" distR="0" wp14:anchorId="5E5C0ECB" wp14:editId="594AC467">
                <wp:extent cx="3784600" cy="2432050"/>
                <wp:effectExtent l="0" t="0" r="25400" b="25400"/>
                <wp:docPr id="1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84600" cy="2432050"/>
                        </a:xfrm>
                        <a:prstGeom prst="rect">
                          <a:avLst/>
                        </a:prstGeom>
                        <a:solidFill>
                          <a:srgbClr val="FFFFFF"/>
                        </a:solidFill>
                        <a:ln w="9525">
                          <a:solidFill>
                            <a:srgbClr val="000000"/>
                          </a:solidFill>
                          <a:miter lim="800000"/>
                          <a:headEnd/>
                          <a:tailEnd/>
                        </a:ln>
                      </wps:spPr>
                      <wps:txbx>
                        <w:txbxContent>
                          <w:p w14:paraId="369B86BB" w14:textId="77777777" w:rsidR="000B2E61" w:rsidRDefault="000B2E61" w:rsidP="00D85C28">
                            <w:pPr>
                              <w:ind w:firstLine="0"/>
                              <w:jc w:val="left"/>
                              <w:rPr>
                                <w:b/>
                                <w:bCs/>
                              </w:rPr>
                            </w:pPr>
                            <w:r w:rsidRPr="00D464D8">
                              <w:rPr>
                                <w:noProof/>
                              </w:rPr>
                              <w:drawing>
                                <wp:inline distT="0" distB="0" distL="0" distR="0" wp14:anchorId="36D22E4C" wp14:editId="059C0762">
                                  <wp:extent cx="3632200" cy="23305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3079" cy="2331116"/>
                                          </a:xfrm>
                                          <a:prstGeom prst="rect">
                                            <a:avLst/>
                                          </a:prstGeom>
                                          <a:noFill/>
                                          <a:ln>
                                            <a:noFill/>
                                          </a:ln>
                                        </pic:spPr>
                                      </pic:pic>
                                    </a:graphicData>
                                  </a:graphic>
                                </wp:inline>
                              </w:drawing>
                            </w:r>
                          </w:p>
                          <w:p w14:paraId="078C7E0B" w14:textId="77777777" w:rsidR="000B2E61" w:rsidRDefault="000B2E61" w:rsidP="00D85C28">
                            <w:pPr>
                              <w:ind w:firstLine="0"/>
                              <w:jc w:val="left"/>
                              <w:rPr>
                                <w:b/>
                                <w:bCs/>
                              </w:rPr>
                            </w:pPr>
                          </w:p>
                          <w:p w14:paraId="33CC11C3" w14:textId="77777777" w:rsidR="000B2E61" w:rsidRDefault="000B2E61" w:rsidP="00D85C28">
                            <w:pPr>
                              <w:ind w:firstLine="0"/>
                              <w:jc w:val="left"/>
                            </w:pPr>
                          </w:p>
                        </w:txbxContent>
                      </wps:txbx>
                      <wps:bodyPr rot="0" vert="horz" wrap="square" lIns="91440" tIns="45720" rIns="91440" bIns="45720" anchor="t" anchorCtr="0" upright="1">
                        <a:noAutofit/>
                      </wps:bodyPr>
                    </wps:wsp>
                  </a:graphicData>
                </a:graphic>
              </wp:inline>
            </w:drawing>
          </mc:Choice>
          <mc:Fallback>
            <w:pict>
              <v:shapetype id="_x0000_t202" coordsize="21600,21600" o:spt="202" path="m,l,21600r21600,l21600,xe">
                <v:stroke joinstyle="miter"/>
                <v:path gradientshapeok="t" o:connecttype="rect"/>
              </v:shapetype>
              <v:shape id="Text Box 4" o:spid="_x0000_s1026" type="#_x0000_t202" style="width:298pt;height:191.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">
                <v:textbox>
                  <w:txbxContent>
                    <w:p w14:paraId="369B86BB" w14:textId="77777777" w:rsidR="000B2E61" w:rsidRDefault="000B2E61" w:rsidP="00D85C28">
                      <w:pPr>
                        <w:ind w:firstLine="0"/>
                        <w:jc w:val="left"/>
                        <w:rPr>
                          <w:b/>
                          <w:bCs/>
                        </w:rPr>
                      </w:pPr>
                      <w:r w:rsidRPr="00D464D8">
                        <w:rPr>
                          <w:noProof/>
                        </w:rPr>
                        <w:drawing>
                          <wp:inline distT="0" distB="0" distL="0" distR="0" wp14:anchorId="36D22E4C" wp14:editId="059C0762">
                            <wp:extent cx="3632200" cy="2330552"/>
                            <wp:effectExtent l="0" t="0" r="635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633079" cy="2331116"/>
                                    </a:xfrm>
                                    <a:prstGeom prst="rect">
                                      <a:avLst/>
                                    </a:prstGeom>
                                    <a:noFill/>
                                    <a:ln>
                                      <a:noFill/>
                                    </a:ln>
                                  </pic:spPr>
                                </pic:pic>
                              </a:graphicData>
                            </a:graphic>
                          </wp:inline>
                        </w:drawing>
                      </w:r>
                    </w:p>
                    <w:p w14:paraId="078C7E0B" w14:textId="77777777" w:rsidR="000B2E61" w:rsidRDefault="000B2E61" w:rsidP="00D85C28">
                      <w:pPr>
                        <w:ind w:firstLine="0"/>
                        <w:jc w:val="left"/>
                        <w:rPr>
                          <w:b/>
                          <w:bCs/>
                        </w:rPr>
                      </w:pPr>
                    </w:p>
                    <w:p w14:paraId="33CC11C3" w14:textId="77777777" w:rsidR="000B2E61" w:rsidRDefault="000B2E61" w:rsidP="00D85C28">
                      <w:pPr>
                        <w:ind w:firstLine="0"/>
                        <w:jc w:val="left"/>
                      </w:pPr>
                    </w:p>
                  </w:txbxContent>
                </v:textbox>
                <w10:anchorlock/>
              </v:shape>
            </w:pict>
          </mc:Fallback>
        </mc:AlternateContent>
      </w:r>
    </w:p>
    <w:p w14:paraId="61B7862A" w14:textId="0DD12FE0" w:rsidR="008F148B" w:rsidRPr="002120F5" w:rsidRDefault="002120F5" w:rsidP="00D85C28">
      <w:pPr>
        <w:keepNext/>
        <w:widowControl w:val="0"/>
        <w:ind w:firstLine="0"/>
        <w:jc w:val="left"/>
        <w:rPr>
          <w:bCs/>
          <w:i/>
          <w:sz w:val="20"/>
          <w:szCs w:val="20"/>
        </w:rPr>
      </w:pPr>
      <w:bookmarkStart w:id="5" w:name="_Ref319935787"/>
      <w:proofErr w:type="gramStart"/>
      <w:r w:rsidRPr="002120F5">
        <w:rPr>
          <w:bCs/>
          <w:sz w:val="20"/>
          <w:szCs w:val="20"/>
        </w:rPr>
        <w:t xml:space="preserve">Figure </w:t>
      </w:r>
      <w:r w:rsidRPr="002120F5">
        <w:rPr>
          <w:bCs/>
          <w:sz w:val="20"/>
          <w:szCs w:val="20"/>
        </w:rPr>
        <w:fldChar w:fldCharType="begin"/>
      </w:r>
      <w:r w:rsidRPr="002120F5">
        <w:rPr>
          <w:bCs/>
          <w:sz w:val="20"/>
          <w:szCs w:val="20"/>
        </w:rPr>
        <w:instrText xml:space="preserve"> SEQ Figure \* ARABIC </w:instrText>
      </w:r>
      <w:r w:rsidRPr="002120F5">
        <w:rPr>
          <w:bCs/>
          <w:sz w:val="20"/>
          <w:szCs w:val="20"/>
        </w:rPr>
        <w:fldChar w:fldCharType="separate"/>
      </w:r>
      <w:r w:rsidRPr="002120F5">
        <w:rPr>
          <w:bCs/>
          <w:sz w:val="20"/>
          <w:szCs w:val="20"/>
        </w:rPr>
        <w:t>3</w:t>
      </w:r>
      <w:r w:rsidRPr="002120F5">
        <w:rPr>
          <w:sz w:val="20"/>
          <w:szCs w:val="20"/>
        </w:rPr>
        <w:fldChar w:fldCharType="end"/>
      </w:r>
      <w:bookmarkEnd w:id="5"/>
      <w:r w:rsidRPr="002120F5">
        <w:rPr>
          <w:bCs/>
          <w:sz w:val="20"/>
          <w:szCs w:val="20"/>
        </w:rPr>
        <w:t>.</w:t>
      </w:r>
      <w:proofErr w:type="gramEnd"/>
      <w:r w:rsidRPr="002120F5">
        <w:rPr>
          <w:bCs/>
          <w:sz w:val="20"/>
          <w:szCs w:val="20"/>
        </w:rPr>
        <w:t xml:space="preserve"> Percent of Residential Customers Aware of EISA, 2009-2011</w:t>
      </w:r>
      <w:r w:rsidRPr="002120F5">
        <w:rPr>
          <w:bCs/>
          <w:sz w:val="20"/>
          <w:szCs w:val="20"/>
          <w:vertAlign w:val="superscript"/>
        </w:rPr>
        <w:footnoteReference w:id="6"/>
      </w:r>
      <w:r w:rsidRPr="002120F5">
        <w:rPr>
          <w:bCs/>
          <w:sz w:val="20"/>
          <w:szCs w:val="20"/>
        </w:rPr>
        <w:t xml:space="preserve">. </w:t>
      </w:r>
      <w:r>
        <w:rPr>
          <w:bCs/>
          <w:i/>
          <w:sz w:val="20"/>
          <w:szCs w:val="20"/>
        </w:rPr>
        <w:t xml:space="preserve">Source: </w:t>
      </w:r>
      <w:r w:rsidR="0089662E" w:rsidRPr="002120F5">
        <w:rPr>
          <w:sz w:val="20"/>
          <w:szCs w:val="20"/>
        </w:rPr>
        <w:t xml:space="preserve">The Cadmus Group, </w:t>
      </w:r>
      <w:proofErr w:type="spellStart"/>
      <w:r w:rsidR="0089662E" w:rsidRPr="002120F5">
        <w:rPr>
          <w:sz w:val="20"/>
          <w:szCs w:val="20"/>
        </w:rPr>
        <w:t>Inc</w:t>
      </w:r>
      <w:proofErr w:type="spellEnd"/>
      <w:r w:rsidR="0089662E" w:rsidRPr="002120F5">
        <w:rPr>
          <w:sz w:val="20"/>
          <w:szCs w:val="20"/>
        </w:rPr>
        <w:t xml:space="preserve"> 2011; The Cadmus Group, </w:t>
      </w:r>
      <w:proofErr w:type="spellStart"/>
      <w:r w:rsidR="0089662E" w:rsidRPr="002120F5">
        <w:rPr>
          <w:sz w:val="20"/>
          <w:szCs w:val="20"/>
        </w:rPr>
        <w:t>Inc</w:t>
      </w:r>
      <w:proofErr w:type="spellEnd"/>
      <w:r w:rsidR="0089662E" w:rsidRPr="002120F5">
        <w:rPr>
          <w:sz w:val="20"/>
          <w:szCs w:val="20"/>
        </w:rPr>
        <w:t xml:space="preserve"> 2012; DNV </w:t>
      </w:r>
      <w:proofErr w:type="spellStart"/>
      <w:r w:rsidR="0089662E" w:rsidRPr="002120F5">
        <w:rPr>
          <w:sz w:val="20"/>
          <w:szCs w:val="20"/>
        </w:rPr>
        <w:t>Kema</w:t>
      </w:r>
      <w:proofErr w:type="spellEnd"/>
      <w:r w:rsidR="0089662E" w:rsidRPr="002120F5">
        <w:rPr>
          <w:sz w:val="20"/>
          <w:szCs w:val="20"/>
        </w:rPr>
        <w:t xml:space="preserve"> 2013; Navigant Consulting and </w:t>
      </w:r>
      <w:proofErr w:type="spellStart"/>
      <w:r w:rsidR="0089662E" w:rsidRPr="002120F5">
        <w:rPr>
          <w:sz w:val="20"/>
          <w:szCs w:val="20"/>
        </w:rPr>
        <w:t>Itron</w:t>
      </w:r>
      <w:proofErr w:type="spellEnd"/>
      <w:r w:rsidR="0089662E" w:rsidRPr="002120F5">
        <w:rPr>
          <w:sz w:val="20"/>
          <w:szCs w:val="20"/>
        </w:rPr>
        <w:t xml:space="preserve">, </w:t>
      </w:r>
      <w:proofErr w:type="spellStart"/>
      <w:r w:rsidR="0089662E" w:rsidRPr="002120F5">
        <w:rPr>
          <w:sz w:val="20"/>
          <w:szCs w:val="20"/>
        </w:rPr>
        <w:t>Inc</w:t>
      </w:r>
      <w:proofErr w:type="spellEnd"/>
      <w:r w:rsidR="0089662E" w:rsidRPr="002120F5">
        <w:rPr>
          <w:sz w:val="20"/>
          <w:szCs w:val="20"/>
        </w:rPr>
        <w:t xml:space="preserve"> 2011; </w:t>
      </w:r>
      <w:proofErr w:type="spellStart"/>
      <w:r>
        <w:rPr>
          <w:sz w:val="20"/>
          <w:szCs w:val="20"/>
        </w:rPr>
        <w:t>Kema</w:t>
      </w:r>
      <w:proofErr w:type="spellEnd"/>
      <w:r>
        <w:rPr>
          <w:sz w:val="20"/>
          <w:szCs w:val="20"/>
        </w:rPr>
        <w:t xml:space="preserve"> 2010; NMR Group, </w:t>
      </w:r>
      <w:proofErr w:type="spellStart"/>
      <w:r>
        <w:rPr>
          <w:sz w:val="20"/>
          <w:szCs w:val="20"/>
        </w:rPr>
        <w:t>Inc</w:t>
      </w:r>
      <w:proofErr w:type="spellEnd"/>
      <w:r>
        <w:rPr>
          <w:sz w:val="20"/>
          <w:szCs w:val="20"/>
        </w:rPr>
        <w:t xml:space="preserve"> 2011.</w:t>
      </w:r>
    </w:p>
    <w:p w14:paraId="38FCD8DA" w14:textId="77777777" w:rsidR="002A3BDE" w:rsidRDefault="002A3BDE" w:rsidP="00274875">
      <w:pPr>
        <w:keepNext/>
        <w:widowControl w:val="0"/>
        <w:jc w:val="left"/>
      </w:pPr>
    </w:p>
    <w:p w14:paraId="07A5C9E3" w14:textId="5C698F86" w:rsidR="00274875" w:rsidRDefault="00892113" w:rsidP="00274875">
      <w:pPr>
        <w:keepNext/>
        <w:widowControl w:val="0"/>
        <w:jc w:val="left"/>
      </w:pPr>
      <w:r>
        <w:t>More current studies show low awareness of</w:t>
      </w:r>
      <w:r w:rsidR="00B00999">
        <w:t xml:space="preserve"> EISA </w:t>
      </w:r>
      <w:r>
        <w:t>legislation</w:t>
      </w:r>
      <w:r w:rsidR="00274875">
        <w:t xml:space="preserve">. </w:t>
      </w:r>
      <w:r w:rsidR="00776390" w:rsidRPr="005F4922">
        <w:t>Approximately 28</w:t>
      </w:r>
      <w:r w:rsidR="00DA2A7E">
        <w:t xml:space="preserve">% </w:t>
      </w:r>
      <w:r w:rsidR="00776390" w:rsidRPr="005F4922">
        <w:t xml:space="preserve">of </w:t>
      </w:r>
      <w:r w:rsidR="00776390">
        <w:t xml:space="preserve">DEP </w:t>
      </w:r>
      <w:r w:rsidR="00776390" w:rsidRPr="005F4922">
        <w:t>responde</w:t>
      </w:r>
      <w:r w:rsidR="00274875">
        <w:t xml:space="preserve">nts (2012), 37% in California (2012), 39% in Connecticut (2012), 46% in the Carolinas (2012), and 64% in Illinois (2013) were reported to be aware of forthcoming lighting legislation. The </w:t>
      </w:r>
      <w:proofErr w:type="spellStart"/>
      <w:r w:rsidR="00274875">
        <w:t>ComEd</w:t>
      </w:r>
      <w:proofErr w:type="spellEnd"/>
      <w:r w:rsidR="00274875">
        <w:t xml:space="preserve"> service territory had the highest awareness of EISA standards at 64% in 2013. This awareness is </w:t>
      </w:r>
      <w:r w:rsidR="00274875" w:rsidRPr="000507E9">
        <w:t xml:space="preserve">up from 53% in </w:t>
      </w:r>
      <w:r w:rsidR="00274875">
        <w:t>2012</w:t>
      </w:r>
      <w:r w:rsidR="00274875" w:rsidRPr="000507E9">
        <w:t xml:space="preserve"> and 35% in </w:t>
      </w:r>
      <w:r w:rsidR="00274875">
        <w:t>2011 (</w:t>
      </w:r>
      <w:r w:rsidR="00274875" w:rsidRPr="00274875">
        <w:fldChar w:fldCharType="begin"/>
      </w:r>
      <w:r w:rsidR="00274875" w:rsidRPr="00274875">
        <w:instrText xml:space="preserve"> REF _Ref383601287 \h  \* MERGEFORMAT </w:instrText>
      </w:r>
      <w:r w:rsidR="00274875" w:rsidRPr="00274875">
        <w:fldChar w:fldCharType="separate"/>
      </w:r>
      <w:r w:rsidRPr="00892113">
        <w:rPr>
          <w:bCs/>
        </w:rPr>
        <w:t xml:space="preserve">Figure </w:t>
      </w:r>
      <w:r w:rsidRPr="00892113">
        <w:rPr>
          <w:bCs/>
          <w:noProof/>
        </w:rPr>
        <w:t>4</w:t>
      </w:r>
      <w:r w:rsidR="00274875" w:rsidRPr="00274875">
        <w:fldChar w:fldCharType="end"/>
      </w:r>
      <w:r w:rsidR="00274875">
        <w:t>)</w:t>
      </w:r>
      <w:r w:rsidR="00274875" w:rsidRPr="00274875">
        <w:t>.</w:t>
      </w:r>
    </w:p>
    <w:p w14:paraId="5071C32C" w14:textId="21ADD8B9" w:rsidR="00C56235" w:rsidRDefault="00C56235" w:rsidP="00C56235">
      <w:pPr>
        <w:keepNext/>
        <w:widowControl w:val="0"/>
        <w:jc w:val="left"/>
      </w:pPr>
    </w:p>
    <w:p w14:paraId="1B29A2EB" w14:textId="429991AA" w:rsidR="008F148B" w:rsidRPr="00C56235" w:rsidRDefault="008F148B" w:rsidP="009B679B">
      <w:pPr>
        <w:keepNext/>
        <w:jc w:val="left"/>
      </w:pPr>
      <w:r>
        <w:rPr>
          <w:noProof/>
        </w:rPr>
        <w:drawing>
          <wp:inline distT="0" distB="0" distL="0" distR="0" wp14:anchorId="0CCB6DCF" wp14:editId="4B7F832B">
            <wp:extent cx="4070350" cy="2610361"/>
            <wp:effectExtent l="19050" t="19050" r="25400" b="190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070601" cy="2610522"/>
                    </a:xfrm>
                    <a:prstGeom prst="rect">
                      <a:avLst/>
                    </a:prstGeom>
                    <a:noFill/>
                    <a:ln>
                      <a:solidFill>
                        <a:schemeClr val="tx1"/>
                      </a:solidFill>
                    </a:ln>
                  </pic:spPr>
                </pic:pic>
              </a:graphicData>
            </a:graphic>
          </wp:inline>
        </w:drawing>
      </w:r>
    </w:p>
    <w:p w14:paraId="433B41D8" w14:textId="6E33439D" w:rsidR="00E733C4" w:rsidRDefault="002120F5" w:rsidP="0018265F">
      <w:pPr>
        <w:keepNext/>
        <w:widowControl w:val="0"/>
        <w:ind w:firstLine="0"/>
        <w:jc w:val="left"/>
      </w:pPr>
      <w:bookmarkStart w:id="6" w:name="_Ref383601287"/>
      <w:proofErr w:type="gramStart"/>
      <w:r w:rsidRPr="00666489">
        <w:rPr>
          <w:bCs/>
          <w:sz w:val="20"/>
          <w:szCs w:val="20"/>
        </w:rPr>
        <w:t xml:space="preserve">Figure </w:t>
      </w:r>
      <w:r w:rsidRPr="00666489">
        <w:rPr>
          <w:bCs/>
          <w:sz w:val="20"/>
          <w:szCs w:val="20"/>
        </w:rPr>
        <w:fldChar w:fldCharType="begin"/>
      </w:r>
      <w:r w:rsidRPr="00666489">
        <w:rPr>
          <w:bCs/>
          <w:sz w:val="20"/>
          <w:szCs w:val="20"/>
        </w:rPr>
        <w:instrText xml:space="preserve"> SEQ Figure \* ARABIC </w:instrText>
      </w:r>
      <w:r w:rsidRPr="00666489">
        <w:rPr>
          <w:bCs/>
          <w:sz w:val="20"/>
          <w:szCs w:val="20"/>
        </w:rPr>
        <w:fldChar w:fldCharType="separate"/>
      </w:r>
      <w:r w:rsidRPr="00666489">
        <w:rPr>
          <w:bCs/>
          <w:sz w:val="20"/>
          <w:szCs w:val="20"/>
        </w:rPr>
        <w:t>4</w:t>
      </w:r>
      <w:r w:rsidRPr="00666489">
        <w:rPr>
          <w:sz w:val="20"/>
          <w:szCs w:val="20"/>
        </w:rPr>
        <w:fldChar w:fldCharType="end"/>
      </w:r>
      <w:bookmarkEnd w:id="6"/>
      <w:r w:rsidRPr="00666489">
        <w:rPr>
          <w:bCs/>
          <w:sz w:val="20"/>
          <w:szCs w:val="20"/>
        </w:rPr>
        <w:t>.</w:t>
      </w:r>
      <w:proofErr w:type="gramEnd"/>
      <w:r w:rsidRPr="00666489">
        <w:rPr>
          <w:bCs/>
          <w:sz w:val="20"/>
          <w:szCs w:val="20"/>
        </w:rPr>
        <w:t xml:space="preserve"> Percent of Residential Customers Aware of EISA, 2012-2013</w:t>
      </w:r>
      <w:r w:rsidRPr="00666489">
        <w:rPr>
          <w:bCs/>
          <w:sz w:val="20"/>
          <w:szCs w:val="20"/>
          <w:vertAlign w:val="superscript"/>
        </w:rPr>
        <w:footnoteReference w:id="7"/>
      </w:r>
      <w:r w:rsidR="00666489">
        <w:rPr>
          <w:bCs/>
          <w:sz w:val="20"/>
          <w:szCs w:val="20"/>
        </w:rPr>
        <w:t xml:space="preserve">. </w:t>
      </w:r>
      <w:r w:rsidR="00666489">
        <w:rPr>
          <w:bCs/>
          <w:i/>
          <w:sz w:val="20"/>
          <w:szCs w:val="20"/>
        </w:rPr>
        <w:t xml:space="preserve">Source: </w:t>
      </w:r>
      <w:r w:rsidR="00BC0B34" w:rsidRPr="00666489">
        <w:rPr>
          <w:sz w:val="20"/>
          <w:szCs w:val="20"/>
        </w:rPr>
        <w:t xml:space="preserve">DNV </w:t>
      </w:r>
      <w:proofErr w:type="spellStart"/>
      <w:r w:rsidR="00BC0B34" w:rsidRPr="00666489">
        <w:rPr>
          <w:sz w:val="20"/>
          <w:szCs w:val="20"/>
        </w:rPr>
        <w:t>Kema</w:t>
      </w:r>
      <w:proofErr w:type="spellEnd"/>
      <w:r w:rsidR="00BC0B34" w:rsidRPr="00666489">
        <w:rPr>
          <w:sz w:val="20"/>
          <w:szCs w:val="20"/>
        </w:rPr>
        <w:t xml:space="preserve"> 2013; Navigant </w:t>
      </w:r>
      <w:r w:rsidR="00BC0B34" w:rsidRPr="00666489">
        <w:rPr>
          <w:sz w:val="20"/>
          <w:szCs w:val="20"/>
        </w:rPr>
        <w:lastRenderedPageBreak/>
        <w:t xml:space="preserve">Consulting and Apex Analytics 2013; Navigant Consulting and </w:t>
      </w:r>
      <w:proofErr w:type="spellStart"/>
      <w:r w:rsidR="00BC0B34" w:rsidRPr="00666489">
        <w:rPr>
          <w:sz w:val="20"/>
          <w:szCs w:val="20"/>
        </w:rPr>
        <w:t>Itron</w:t>
      </w:r>
      <w:proofErr w:type="spellEnd"/>
      <w:r w:rsidR="00BC0B34" w:rsidRPr="00666489">
        <w:rPr>
          <w:sz w:val="20"/>
          <w:szCs w:val="20"/>
        </w:rPr>
        <w:t xml:space="preserve">, </w:t>
      </w:r>
      <w:proofErr w:type="spellStart"/>
      <w:r w:rsidR="00BC0B34" w:rsidRPr="00666489">
        <w:rPr>
          <w:sz w:val="20"/>
          <w:szCs w:val="20"/>
        </w:rPr>
        <w:t>Inc</w:t>
      </w:r>
      <w:proofErr w:type="spellEnd"/>
      <w:r w:rsidR="00BC0B34" w:rsidRPr="00666489">
        <w:rPr>
          <w:sz w:val="20"/>
          <w:szCs w:val="20"/>
        </w:rPr>
        <w:t xml:space="preserve"> 2013; NMR Group, </w:t>
      </w:r>
      <w:proofErr w:type="spellStart"/>
      <w:r w:rsidR="00BC0B34" w:rsidRPr="00666489">
        <w:rPr>
          <w:sz w:val="20"/>
          <w:szCs w:val="20"/>
        </w:rPr>
        <w:t>Inc</w:t>
      </w:r>
      <w:proofErr w:type="spellEnd"/>
      <w:r w:rsidR="00BC0B34" w:rsidRPr="00666489">
        <w:rPr>
          <w:sz w:val="20"/>
          <w:szCs w:val="20"/>
        </w:rPr>
        <w:t xml:space="preserve"> 2012; NMR Group, </w:t>
      </w:r>
      <w:proofErr w:type="spellStart"/>
      <w:r w:rsidR="00BC0B34" w:rsidRPr="00666489">
        <w:rPr>
          <w:sz w:val="20"/>
          <w:szCs w:val="20"/>
        </w:rPr>
        <w:t>Inc</w:t>
      </w:r>
      <w:proofErr w:type="spellEnd"/>
      <w:r w:rsidR="00BC0B34" w:rsidRPr="00666489">
        <w:rPr>
          <w:sz w:val="20"/>
          <w:szCs w:val="20"/>
        </w:rPr>
        <w:t xml:space="preserve"> 2013</w:t>
      </w:r>
      <w:r w:rsidR="003616A7" w:rsidRPr="00666489">
        <w:rPr>
          <w:sz w:val="20"/>
          <w:szCs w:val="20"/>
        </w:rPr>
        <w:t xml:space="preserve">; NMR Group, </w:t>
      </w:r>
      <w:proofErr w:type="spellStart"/>
      <w:r w:rsidR="003616A7" w:rsidRPr="00666489">
        <w:rPr>
          <w:sz w:val="20"/>
          <w:szCs w:val="20"/>
        </w:rPr>
        <w:t>Inc</w:t>
      </w:r>
      <w:proofErr w:type="spellEnd"/>
      <w:r w:rsidR="003616A7" w:rsidRPr="00666489">
        <w:rPr>
          <w:sz w:val="20"/>
          <w:szCs w:val="20"/>
        </w:rPr>
        <w:t xml:space="preserve"> and Apex Analytics 2014.</w:t>
      </w:r>
    </w:p>
    <w:p w14:paraId="6D75FE40" w14:textId="77777777" w:rsidR="005F4922" w:rsidRDefault="005F4922" w:rsidP="00104962">
      <w:pPr>
        <w:keepNext/>
        <w:widowControl w:val="0"/>
        <w:jc w:val="left"/>
      </w:pPr>
    </w:p>
    <w:p w14:paraId="5359C1C0" w14:textId="11EC25B4" w:rsidR="0007777D" w:rsidRDefault="0018265F" w:rsidP="0007777D">
      <w:pPr>
        <w:pStyle w:val="Heading2"/>
        <w:jc w:val="left"/>
      </w:pPr>
      <w:r>
        <w:t>Consumer Responses to EISA</w:t>
      </w:r>
    </w:p>
    <w:p w14:paraId="356ACB20" w14:textId="77777777" w:rsidR="0007777D" w:rsidRDefault="0007777D" w:rsidP="00104962">
      <w:pPr>
        <w:keepNext/>
        <w:widowControl w:val="0"/>
        <w:jc w:val="left"/>
      </w:pPr>
    </w:p>
    <w:p w14:paraId="0B5F429C" w14:textId="61AE656E" w:rsidR="00313EF8" w:rsidRDefault="00A231D6" w:rsidP="00313EF8">
      <w:pPr>
        <w:keepNext/>
        <w:widowControl w:val="0"/>
        <w:jc w:val="left"/>
      </w:pPr>
      <w:r>
        <w:t>Some studies have found that consumers, when told about the legislation, report a</w:t>
      </w:r>
      <w:r w:rsidR="002A3BDE">
        <w:t>n</w:t>
      </w:r>
      <w:r>
        <w:t xml:space="preserve"> intention to possibly stock pile</w:t>
      </w:r>
      <w:r w:rsidR="00DA2A7E">
        <w:t xml:space="preserve"> incandescent</w:t>
      </w:r>
      <w:r>
        <w:t xml:space="preserve"> bulbs. For example, i</w:t>
      </w:r>
      <w:r w:rsidR="00597F20">
        <w:t xml:space="preserve">n the </w:t>
      </w:r>
      <w:r w:rsidR="000E5CEA">
        <w:t xml:space="preserve">2011 </w:t>
      </w:r>
      <w:proofErr w:type="spellStart"/>
      <w:r w:rsidR="00EB4E5D">
        <w:t>ComEd</w:t>
      </w:r>
      <w:proofErr w:type="spellEnd"/>
      <w:r w:rsidR="00597F20">
        <w:t xml:space="preserve"> study</w:t>
      </w:r>
      <w:r w:rsidR="000E5CEA">
        <w:t>,</w:t>
      </w:r>
      <w:r w:rsidR="00597F20">
        <w:t xml:space="preserve"> consumers who were not aware of EISA were read a description of the legislation, read four descriptions of possible actions they would take for l</w:t>
      </w:r>
      <w:r w:rsidR="00597F20" w:rsidRPr="00597F20">
        <w:t>ight sockets where they have used 100-watt incandescent</w:t>
      </w:r>
      <w:r w:rsidR="00597F20">
        <w:t xml:space="preserve">, and </w:t>
      </w:r>
      <w:r w:rsidR="00DA2A7E">
        <w:t xml:space="preserve">finally </w:t>
      </w:r>
      <w:r w:rsidR="00597F20">
        <w:t xml:space="preserve">asked the likelihood of each action. </w:t>
      </w:r>
      <w:r w:rsidR="00597F20" w:rsidRPr="00597F20">
        <w:t xml:space="preserve">The most likely action </w:t>
      </w:r>
      <w:r w:rsidR="00DA2A7E">
        <w:t>chosen was the</w:t>
      </w:r>
      <w:r w:rsidR="00DA2A7E" w:rsidRPr="00597F20">
        <w:t xml:space="preserve"> </w:t>
      </w:r>
      <w:r w:rsidR="00597F20" w:rsidRPr="00597F20">
        <w:t xml:space="preserve">stockpiling </w:t>
      </w:r>
      <w:r w:rsidR="00DA2A7E">
        <w:t xml:space="preserve">of </w:t>
      </w:r>
      <w:r w:rsidR="00597F20" w:rsidRPr="00597F20">
        <w:t>existing 100-watt incandescent bulbs</w:t>
      </w:r>
      <w:r w:rsidR="00597F20">
        <w:t xml:space="preserve">, as 45% of respondents </w:t>
      </w:r>
      <w:r w:rsidR="00597F20" w:rsidRPr="00597F20">
        <w:t>gave a rating from 7 to 10</w:t>
      </w:r>
      <w:r w:rsidR="00597F20">
        <w:t xml:space="preserve"> (on a 10-point scale)</w:t>
      </w:r>
      <w:r w:rsidR="00597F20" w:rsidRPr="00597F20">
        <w:t xml:space="preserve"> when asked if they would purchase extra 100-watt incandescent bulbs before the law goes into effect.</w:t>
      </w:r>
      <w:r w:rsidR="00597F20">
        <w:t xml:space="preserve"> </w:t>
      </w:r>
      <w:r>
        <w:t>Similarly, s</w:t>
      </w:r>
      <w:r w:rsidRPr="00763E9D">
        <w:t>ix consumer focus groups held in Connecticut in late 20</w:t>
      </w:r>
      <w:r>
        <w:t xml:space="preserve">11 found a high propensity towards the stated intention of </w:t>
      </w:r>
      <w:r w:rsidRPr="00763E9D">
        <w:t>incandescent lamp hoarding, with 10 out of 23 participants indicating that they ar</w:t>
      </w:r>
      <w:r>
        <w:t xml:space="preserve">e </w:t>
      </w:r>
      <w:r w:rsidRPr="00763E9D">
        <w:t>currently hoarding or would consider hoarding incandescent lamps.</w:t>
      </w:r>
    </w:p>
    <w:p w14:paraId="67675C2E" w14:textId="1E206A70" w:rsidR="00313EF8" w:rsidRDefault="00A231D6" w:rsidP="00313EF8">
      <w:pPr>
        <w:keepNext/>
        <w:widowControl w:val="0"/>
        <w:jc w:val="left"/>
      </w:pPr>
      <w:r>
        <w:t xml:space="preserve">However, </w:t>
      </w:r>
      <w:r w:rsidR="00DA2A7E">
        <w:t xml:space="preserve">two studies found that </w:t>
      </w:r>
      <w:r>
        <w:t>c</w:t>
      </w:r>
      <w:r w:rsidR="000E5CEA">
        <w:t xml:space="preserve">onsiderably fewer consumers </w:t>
      </w:r>
      <w:r w:rsidR="00313EF8">
        <w:t xml:space="preserve">actually </w:t>
      </w:r>
      <w:r w:rsidR="000E5CEA">
        <w:t>stockpiled 100w bulbs</w:t>
      </w:r>
      <w:r w:rsidR="00313EF8">
        <w:t xml:space="preserve"> </w:t>
      </w:r>
      <w:r w:rsidR="000E5CEA">
        <w:t xml:space="preserve">compared to </w:t>
      </w:r>
      <w:r>
        <w:t>the stated intentions</w:t>
      </w:r>
      <w:r w:rsidR="000E5CEA">
        <w:t xml:space="preserve">. </w:t>
      </w:r>
      <w:r>
        <w:t>For example, o</w:t>
      </w:r>
      <w:r w:rsidR="000E5CEA">
        <w:t xml:space="preserve">nly 8% of DEP </w:t>
      </w:r>
      <w:r w:rsidR="000E5CEA" w:rsidRPr="005F4922">
        <w:t xml:space="preserve">respondents indicated that they had bought extra 100W bulbs to use </w:t>
      </w:r>
      <w:r>
        <w:t xml:space="preserve">after the law went into effect, and the </w:t>
      </w:r>
      <w:r w:rsidR="009F7E62">
        <w:t xml:space="preserve">2013 </w:t>
      </w:r>
      <w:r w:rsidR="009224B6">
        <w:t>NYSERDA</w:t>
      </w:r>
      <w:r>
        <w:t xml:space="preserve"> study found negligible (</w:t>
      </w:r>
      <w:r w:rsidR="004B6350">
        <w:t>less than 1</w:t>
      </w:r>
      <w:r>
        <w:t xml:space="preserve">%) of on-site inspection </w:t>
      </w:r>
      <w:proofErr w:type="gramStart"/>
      <w:r>
        <w:t>participants</w:t>
      </w:r>
      <w:proofErr w:type="gramEnd"/>
      <w:r>
        <w:t xml:space="preserve"> hoarded bulbs</w:t>
      </w:r>
      <w:r w:rsidR="009F7E62">
        <w:t xml:space="preserve"> in 2012</w:t>
      </w:r>
      <w:r>
        <w:t>.</w:t>
      </w:r>
    </w:p>
    <w:p w14:paraId="016770B5" w14:textId="61F8D2A3" w:rsidR="000507E9" w:rsidRDefault="00D508DA" w:rsidP="00BC0B34">
      <w:pPr>
        <w:autoSpaceDE w:val="0"/>
        <w:autoSpaceDN w:val="0"/>
        <w:adjustRightInd w:val="0"/>
        <w:jc w:val="left"/>
      </w:pPr>
      <w:r>
        <w:t>Generally, survey results indicate that consumers would choose a lower wattage incandescent or a CFL when 100 watt bulbs are eliminated (</w:t>
      </w:r>
      <w:r w:rsidRPr="00D508DA">
        <w:fldChar w:fldCharType="begin"/>
      </w:r>
      <w:r w:rsidRPr="00D508DA">
        <w:instrText xml:space="preserve"> REF _Ref383610373 \h  \* MERGEFORMAT </w:instrText>
      </w:r>
      <w:r w:rsidRPr="00D508DA">
        <w:fldChar w:fldCharType="separate"/>
      </w:r>
      <w:r w:rsidR="00892113" w:rsidRPr="00892113">
        <w:rPr>
          <w:bCs/>
        </w:rPr>
        <w:t xml:space="preserve">Figure </w:t>
      </w:r>
      <w:r w:rsidR="00892113" w:rsidRPr="00892113">
        <w:rPr>
          <w:bCs/>
          <w:noProof/>
        </w:rPr>
        <w:t>5</w:t>
      </w:r>
      <w:r w:rsidRPr="00D508DA">
        <w:fldChar w:fldCharType="end"/>
      </w:r>
      <w:r>
        <w:t xml:space="preserve">). </w:t>
      </w:r>
      <w:proofErr w:type="spellStart"/>
      <w:r w:rsidR="00313EF8">
        <w:t>ComEd</w:t>
      </w:r>
      <w:proofErr w:type="spellEnd"/>
      <w:r w:rsidR="00313EF8">
        <w:t xml:space="preserve"> 2013 </w:t>
      </w:r>
      <w:r w:rsidR="000507E9" w:rsidRPr="000507E9">
        <w:t xml:space="preserve">survey respondents reported an increased likelihood to purchase CFLs and a decreased likelihood to purchase halogen </w:t>
      </w:r>
      <w:proofErr w:type="gramStart"/>
      <w:r w:rsidR="000507E9" w:rsidRPr="000507E9">
        <w:t>bulbs,</w:t>
      </w:r>
      <w:proofErr w:type="gramEnd"/>
      <w:r w:rsidR="000507E9" w:rsidRPr="000507E9">
        <w:t xml:space="preserve"> with 51% reporting they will likely buy CFLs and only 7% reporting they will likely buy halogen bulbs.</w:t>
      </w:r>
      <w:r>
        <w:t xml:space="preserve"> However, 39% of respondents in Connecticut </w:t>
      </w:r>
      <w:r w:rsidRPr="00313EF8">
        <w:t>chose a lower wattage incandescent and 34% chose a CFL</w:t>
      </w:r>
      <w:r>
        <w:t xml:space="preserve"> when forced to choose a new bulb</w:t>
      </w:r>
      <w:r w:rsidRPr="00313EF8">
        <w:t>.</w:t>
      </w:r>
      <w:r w:rsidRPr="00796CB5">
        <w:t xml:space="preserve"> </w:t>
      </w:r>
      <w:r w:rsidRPr="00313EF8">
        <w:t>Common reasons for choosing an incandescent</w:t>
      </w:r>
      <w:r w:rsidR="00DA2A7E">
        <w:t xml:space="preserve"> bulb</w:t>
      </w:r>
      <w:r w:rsidRPr="00313EF8">
        <w:t xml:space="preserve"> included preference for the light quality and familiarity with the product</w:t>
      </w:r>
      <w:r w:rsidR="00DA2A7E">
        <w:t>.</w:t>
      </w:r>
      <w:r w:rsidRPr="00313EF8">
        <w:t xml:space="preserve"> </w:t>
      </w:r>
      <w:r w:rsidR="00DA2A7E">
        <w:t>M</w:t>
      </w:r>
      <w:r w:rsidRPr="00313EF8">
        <w:t>any respondents choosing CFLs noted their energy or bill savings.</w:t>
      </w:r>
    </w:p>
    <w:p w14:paraId="3688730A" w14:textId="7AB67090" w:rsidR="00510CE4" w:rsidRDefault="00510CE4" w:rsidP="00510CE4">
      <w:pPr>
        <w:keepNext/>
        <w:widowControl w:val="0"/>
        <w:ind w:firstLine="0"/>
      </w:pPr>
    </w:p>
    <w:p w14:paraId="64BDD31C" w14:textId="77777777" w:rsidR="00951251" w:rsidRDefault="00951251" w:rsidP="00510CE4">
      <w:pPr>
        <w:keepNext/>
        <w:widowControl w:val="0"/>
        <w:ind w:firstLine="0"/>
        <w:rPr>
          <w:b/>
          <w:bCs/>
        </w:rPr>
      </w:pPr>
    </w:p>
    <w:p w14:paraId="695ED1F3" w14:textId="77777777" w:rsidR="00951251" w:rsidRDefault="00951251" w:rsidP="002120F5">
      <w:pPr>
        <w:ind w:firstLine="0"/>
        <w:jc w:val="left"/>
        <w:rPr>
          <w:bCs/>
          <w:sz w:val="20"/>
          <w:szCs w:val="20"/>
        </w:rPr>
      </w:pPr>
      <w:bookmarkStart w:id="7" w:name="_Ref383610373"/>
      <w:r>
        <w:rPr>
          <w:bCs/>
          <w:noProof/>
          <w:sz w:val="20"/>
          <w:szCs w:val="20"/>
        </w:rPr>
        <w:drawing>
          <wp:inline distT="0" distB="0" distL="0" distR="0" wp14:anchorId="128FF195" wp14:editId="6FF7B558">
            <wp:extent cx="4561057" cy="2779776"/>
            <wp:effectExtent l="0" t="0" r="0" b="190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561057" cy="2779776"/>
                    </a:xfrm>
                    <a:prstGeom prst="rect">
                      <a:avLst/>
                    </a:prstGeom>
                    <a:noFill/>
                  </pic:spPr>
                </pic:pic>
              </a:graphicData>
            </a:graphic>
          </wp:inline>
        </w:drawing>
      </w:r>
    </w:p>
    <w:p w14:paraId="51E531FE" w14:textId="75A94B30" w:rsidR="00763E9D" w:rsidRPr="00666489" w:rsidRDefault="00666489" w:rsidP="002120F5">
      <w:pPr>
        <w:ind w:firstLine="0"/>
        <w:jc w:val="left"/>
        <w:rPr>
          <w:bCs/>
          <w:sz w:val="20"/>
          <w:szCs w:val="20"/>
        </w:rPr>
      </w:pPr>
      <w:proofErr w:type="gramStart"/>
      <w:r w:rsidRPr="00666489">
        <w:rPr>
          <w:bCs/>
          <w:sz w:val="20"/>
          <w:szCs w:val="20"/>
        </w:rPr>
        <w:t xml:space="preserve">Figure </w:t>
      </w:r>
      <w:r w:rsidRPr="00666489">
        <w:rPr>
          <w:bCs/>
          <w:sz w:val="20"/>
          <w:szCs w:val="20"/>
        </w:rPr>
        <w:fldChar w:fldCharType="begin"/>
      </w:r>
      <w:r w:rsidRPr="00666489">
        <w:rPr>
          <w:bCs/>
          <w:sz w:val="20"/>
          <w:szCs w:val="20"/>
        </w:rPr>
        <w:instrText xml:space="preserve"> SEQ Figure \* ARABIC </w:instrText>
      </w:r>
      <w:r w:rsidRPr="00666489">
        <w:rPr>
          <w:bCs/>
          <w:sz w:val="20"/>
          <w:szCs w:val="20"/>
        </w:rPr>
        <w:fldChar w:fldCharType="separate"/>
      </w:r>
      <w:r w:rsidRPr="00666489">
        <w:rPr>
          <w:bCs/>
          <w:sz w:val="20"/>
          <w:szCs w:val="20"/>
        </w:rPr>
        <w:t>5</w:t>
      </w:r>
      <w:r w:rsidRPr="00666489">
        <w:rPr>
          <w:sz w:val="20"/>
          <w:szCs w:val="20"/>
        </w:rPr>
        <w:fldChar w:fldCharType="end"/>
      </w:r>
      <w:bookmarkEnd w:id="7"/>
      <w:r w:rsidRPr="00666489">
        <w:rPr>
          <w:bCs/>
          <w:sz w:val="20"/>
          <w:szCs w:val="20"/>
        </w:rPr>
        <w:t>.</w:t>
      </w:r>
      <w:proofErr w:type="gramEnd"/>
      <w:r w:rsidRPr="00666489">
        <w:rPr>
          <w:bCs/>
          <w:sz w:val="20"/>
          <w:szCs w:val="20"/>
        </w:rPr>
        <w:t xml:space="preserve"> </w:t>
      </w:r>
      <w:proofErr w:type="gramStart"/>
      <w:r w:rsidRPr="00666489">
        <w:rPr>
          <w:bCs/>
          <w:sz w:val="20"/>
          <w:szCs w:val="20"/>
        </w:rPr>
        <w:t>Replacement Bulb Technologies</w:t>
      </w:r>
      <w:r>
        <w:rPr>
          <w:bCs/>
          <w:sz w:val="20"/>
          <w:szCs w:val="20"/>
        </w:rPr>
        <w:t>.</w:t>
      </w:r>
      <w:proofErr w:type="gramEnd"/>
      <w:r>
        <w:rPr>
          <w:bCs/>
          <w:sz w:val="20"/>
          <w:szCs w:val="20"/>
        </w:rPr>
        <w:t xml:space="preserve"> </w:t>
      </w:r>
      <w:r>
        <w:rPr>
          <w:bCs/>
          <w:i/>
          <w:sz w:val="20"/>
          <w:szCs w:val="20"/>
        </w:rPr>
        <w:t xml:space="preserve">Source: </w:t>
      </w:r>
      <w:r w:rsidR="00BC0B34" w:rsidRPr="00BC0B34">
        <w:rPr>
          <w:i/>
          <w:sz w:val="20"/>
          <w:szCs w:val="20"/>
        </w:rPr>
        <w:t xml:space="preserve">DNV </w:t>
      </w:r>
      <w:proofErr w:type="spellStart"/>
      <w:r w:rsidR="00BC0B34" w:rsidRPr="00666489">
        <w:rPr>
          <w:sz w:val="20"/>
          <w:szCs w:val="20"/>
        </w:rPr>
        <w:t>Kema</w:t>
      </w:r>
      <w:proofErr w:type="spellEnd"/>
      <w:r w:rsidR="00BC0B34" w:rsidRPr="00666489">
        <w:rPr>
          <w:sz w:val="20"/>
          <w:szCs w:val="20"/>
        </w:rPr>
        <w:t xml:space="preserve"> 2013; Navigant Consulting and </w:t>
      </w:r>
      <w:proofErr w:type="spellStart"/>
      <w:r w:rsidR="00BC0B34" w:rsidRPr="00666489">
        <w:rPr>
          <w:sz w:val="20"/>
          <w:szCs w:val="20"/>
        </w:rPr>
        <w:t>Itron</w:t>
      </w:r>
      <w:proofErr w:type="spellEnd"/>
      <w:r w:rsidR="00BC0B34" w:rsidRPr="00666489">
        <w:rPr>
          <w:sz w:val="20"/>
          <w:szCs w:val="20"/>
        </w:rPr>
        <w:t xml:space="preserve">, </w:t>
      </w:r>
      <w:proofErr w:type="spellStart"/>
      <w:r w:rsidR="00BC0B34" w:rsidRPr="00666489">
        <w:rPr>
          <w:sz w:val="20"/>
          <w:szCs w:val="20"/>
        </w:rPr>
        <w:t>Inc</w:t>
      </w:r>
      <w:proofErr w:type="spellEnd"/>
      <w:r w:rsidR="00BC0B34" w:rsidRPr="00666489">
        <w:rPr>
          <w:sz w:val="20"/>
          <w:szCs w:val="20"/>
        </w:rPr>
        <w:t xml:space="preserve"> 2011; Navigant Consulting and </w:t>
      </w:r>
      <w:proofErr w:type="spellStart"/>
      <w:r w:rsidR="00BC0B34" w:rsidRPr="00666489">
        <w:rPr>
          <w:sz w:val="20"/>
          <w:szCs w:val="20"/>
        </w:rPr>
        <w:t>Itron</w:t>
      </w:r>
      <w:proofErr w:type="spellEnd"/>
      <w:r w:rsidR="00BC0B34" w:rsidRPr="00666489">
        <w:rPr>
          <w:sz w:val="20"/>
          <w:szCs w:val="20"/>
        </w:rPr>
        <w:t xml:space="preserve">, </w:t>
      </w:r>
      <w:proofErr w:type="spellStart"/>
      <w:r w:rsidR="00BC0B34" w:rsidRPr="00666489">
        <w:rPr>
          <w:sz w:val="20"/>
          <w:szCs w:val="20"/>
        </w:rPr>
        <w:t>Inc</w:t>
      </w:r>
      <w:proofErr w:type="spellEnd"/>
      <w:r w:rsidR="00BC0B34" w:rsidRPr="00666489">
        <w:rPr>
          <w:sz w:val="20"/>
          <w:szCs w:val="20"/>
        </w:rPr>
        <w:t xml:space="preserve"> 2013; NMR Group, </w:t>
      </w:r>
      <w:proofErr w:type="spellStart"/>
      <w:r w:rsidR="00BC0B34" w:rsidRPr="00666489">
        <w:rPr>
          <w:sz w:val="20"/>
          <w:szCs w:val="20"/>
        </w:rPr>
        <w:t>Inc</w:t>
      </w:r>
      <w:proofErr w:type="spellEnd"/>
      <w:r w:rsidR="00BC0B34" w:rsidRPr="00666489">
        <w:rPr>
          <w:sz w:val="20"/>
          <w:szCs w:val="20"/>
        </w:rPr>
        <w:t xml:space="preserve"> 2012; NMR Group, </w:t>
      </w:r>
      <w:proofErr w:type="spellStart"/>
      <w:r w:rsidR="00BC0B34" w:rsidRPr="00666489">
        <w:rPr>
          <w:sz w:val="20"/>
          <w:szCs w:val="20"/>
        </w:rPr>
        <w:t>Inc</w:t>
      </w:r>
      <w:proofErr w:type="spellEnd"/>
      <w:r w:rsidR="00BC0B34" w:rsidRPr="00666489">
        <w:rPr>
          <w:sz w:val="20"/>
          <w:szCs w:val="20"/>
        </w:rPr>
        <w:t xml:space="preserve"> 2013.  </w:t>
      </w:r>
    </w:p>
    <w:p w14:paraId="4E694E5E" w14:textId="77777777" w:rsidR="00BC0B34" w:rsidRDefault="00BC0B34" w:rsidP="00D85C28"/>
    <w:p w14:paraId="326678EA" w14:textId="705B092A" w:rsidR="00A243FA" w:rsidRPr="005F4922" w:rsidRDefault="00A243FA" w:rsidP="00A243FA">
      <w:pPr>
        <w:jc w:val="left"/>
      </w:pPr>
      <w:r>
        <w:t xml:space="preserve">When asked about customer reaction to EISA, 24% of the 2011 </w:t>
      </w:r>
      <w:proofErr w:type="spellStart"/>
      <w:r>
        <w:t>PacfiCorp</w:t>
      </w:r>
      <w:proofErr w:type="spellEnd"/>
      <w:r>
        <w:t xml:space="preserve"> lighting retailers and 46% of 2013 DEP lighting retailers said they had received negative feedback from customers. The feedback included frustration at the government telling them what to do, </w:t>
      </w:r>
      <w:r w:rsidRPr="00C13624">
        <w:t>difficulty understanding technical details</w:t>
      </w:r>
      <w:r>
        <w:t xml:space="preserve"> (e.g., </w:t>
      </w:r>
      <w:r w:rsidRPr="00C13624">
        <w:t>lumens, lumens per watt</w:t>
      </w:r>
      <w:r>
        <w:t>),</w:t>
      </w:r>
      <w:r w:rsidRPr="00C13624">
        <w:t xml:space="preserve"> </w:t>
      </w:r>
      <w:r>
        <w:t>dissatisfaction</w:t>
      </w:r>
      <w:r w:rsidRPr="00C13624">
        <w:t xml:space="preserve"> with the number of incandescent options available</w:t>
      </w:r>
      <w:r>
        <w:t>,</w:t>
      </w:r>
      <w:r w:rsidRPr="00C13624">
        <w:t xml:space="preserve"> </w:t>
      </w:r>
      <w:r>
        <w:t xml:space="preserve">as well as dissatisfaction with CFLs’ lighting quality and mercury content. </w:t>
      </w:r>
      <w:r w:rsidRPr="005F4922">
        <w:t xml:space="preserve">Five of the six </w:t>
      </w:r>
      <w:r>
        <w:t xml:space="preserve">2013DEP </w:t>
      </w:r>
      <w:r w:rsidRPr="005F4922">
        <w:t>manufacturers had received feedback on EISA from customers or retailers. Two indicated that customers needed clarification on the standard. One indicated that low-income consumers were angry about the higher price of complying alternatives.</w:t>
      </w:r>
      <w:r>
        <w:t xml:space="preserve"> This increase in complaints over time is most likely due to a rise in consumer awareness of the legislation at the same time the requirements are becoming more stringent. </w:t>
      </w:r>
    </w:p>
    <w:p w14:paraId="2369F19A" w14:textId="77777777" w:rsidR="00A243FA" w:rsidRDefault="00A243FA" w:rsidP="00D85C28"/>
    <w:p w14:paraId="2E2CF57B" w14:textId="77777777" w:rsidR="001738DF" w:rsidRDefault="001738DF" w:rsidP="00A02FDB">
      <w:pPr>
        <w:pStyle w:val="Heading1"/>
        <w:jc w:val="left"/>
      </w:pPr>
      <w:r>
        <w:t>Summary and Conclusions</w:t>
      </w:r>
    </w:p>
    <w:p w14:paraId="0DD23871" w14:textId="77777777" w:rsidR="001738DF" w:rsidRDefault="001738DF">
      <w:pPr>
        <w:widowControl w:val="0"/>
        <w:jc w:val="left"/>
      </w:pPr>
    </w:p>
    <w:p w14:paraId="5E043873" w14:textId="1857BB18" w:rsidR="000B2E61" w:rsidRPr="00D85C28" w:rsidRDefault="001D48C2" w:rsidP="00D85C28">
      <w:pPr>
        <w:ind w:firstLine="0"/>
        <w:jc w:val="left"/>
      </w:pPr>
      <w:r>
        <w:t>This paper revealed several trends in the lighting market as a result of the EISA legislation, namely:</w:t>
      </w:r>
    </w:p>
    <w:p w14:paraId="5633ECFC" w14:textId="2D0B769F" w:rsidR="00805DC4" w:rsidRDefault="00805DC4" w:rsidP="00805DC4">
      <w:pPr>
        <w:numPr>
          <w:ilvl w:val="1"/>
          <w:numId w:val="9"/>
        </w:numPr>
        <w:tabs>
          <w:tab w:val="clear" w:pos="2160"/>
          <w:tab w:val="num" w:pos="720"/>
        </w:tabs>
        <w:ind w:left="720" w:hanging="720"/>
        <w:jc w:val="left"/>
      </w:pPr>
      <w:r w:rsidRPr="00805DC4">
        <w:rPr>
          <w:b/>
          <w:i/>
        </w:rPr>
        <w:t>Lighting manufacturers are committed to EISA</w:t>
      </w:r>
      <w:r>
        <w:t xml:space="preserve">. Lighting manufacturers supported the adoption of the EISA standards, and have </w:t>
      </w:r>
      <w:r w:rsidR="0078313F">
        <w:t>stated their commitment to EISA even when the federal government has debated repealing the law and elim</w:t>
      </w:r>
      <w:r w:rsidR="00B00999">
        <w:t xml:space="preserve">inated enforcement of the law. Five of six </w:t>
      </w:r>
      <w:r w:rsidR="00B00999" w:rsidRPr="005F4922">
        <w:t>manufacturers indicated that their company plans to educate customers or sales reps regarding EISA.</w:t>
      </w:r>
    </w:p>
    <w:p w14:paraId="1EE191E2" w14:textId="513E5DE6" w:rsidR="00671591" w:rsidRPr="00671591" w:rsidRDefault="00671591" w:rsidP="00805DC4">
      <w:pPr>
        <w:numPr>
          <w:ilvl w:val="1"/>
          <w:numId w:val="9"/>
        </w:numPr>
        <w:tabs>
          <w:tab w:val="clear" w:pos="2160"/>
          <w:tab w:val="num" w:pos="720"/>
        </w:tabs>
        <w:ind w:left="720" w:hanging="720"/>
        <w:jc w:val="left"/>
      </w:pPr>
      <w:r>
        <w:rPr>
          <w:b/>
          <w:i/>
        </w:rPr>
        <w:t xml:space="preserve">There is a significant sell-through period for pre-EISA bulbs. </w:t>
      </w:r>
      <w:r>
        <w:t>A</w:t>
      </w:r>
      <w:r w:rsidRPr="00A0053E">
        <w:t>t the midway point (June/July) of 2012</w:t>
      </w:r>
      <w:r>
        <w:t>, 79%</w:t>
      </w:r>
      <w:r w:rsidRPr="00A0053E">
        <w:t xml:space="preserve"> of </w:t>
      </w:r>
      <w:r>
        <w:t xml:space="preserve">DEP </w:t>
      </w:r>
      <w:r w:rsidRPr="00A0053E">
        <w:t>retailers</w:t>
      </w:r>
      <w:r>
        <w:t xml:space="preserve"> visited in North and South Carolina</w:t>
      </w:r>
      <w:r w:rsidRPr="00A0053E">
        <w:t xml:space="preserve"> were still carrying high</w:t>
      </w:r>
      <w:r>
        <w:t xml:space="preserve"> brightness</w:t>
      </w:r>
      <w:r w:rsidRPr="00A0053E">
        <w:t xml:space="preserve"> incandescent bulbs</w:t>
      </w:r>
      <w:r w:rsidR="004A6385">
        <w:t xml:space="preserve">; eight months after the standard went into place, approximately 82% of stores visited in Massachusetts were still carrying 100 watt </w:t>
      </w:r>
      <w:r w:rsidR="004A6385">
        <w:lastRenderedPageBreak/>
        <w:t>bulbs</w:t>
      </w:r>
      <w:r w:rsidR="004A6385">
        <w:rPr>
          <w:rStyle w:val="FootnoteReference"/>
        </w:rPr>
        <w:footnoteReference w:id="8"/>
      </w:r>
      <w:r w:rsidR="004A6385">
        <w:t>; and n</w:t>
      </w:r>
      <w:r w:rsidRPr="005722F2">
        <w:t xml:space="preserve">early 18-months after the 100-watt EISA standard went into place, 100-watt incandescent bulbs were still on the shelves at 50% of </w:t>
      </w:r>
      <w:proofErr w:type="spellStart"/>
      <w:r>
        <w:t>ComEd</w:t>
      </w:r>
      <w:proofErr w:type="spellEnd"/>
      <w:r>
        <w:t xml:space="preserve"> </w:t>
      </w:r>
      <w:r w:rsidRPr="005722F2">
        <w:t>program retailers.</w:t>
      </w:r>
    </w:p>
    <w:p w14:paraId="21176EF8" w14:textId="55BBC0D5" w:rsidR="0078313F" w:rsidRDefault="00671591" w:rsidP="00805DC4">
      <w:pPr>
        <w:numPr>
          <w:ilvl w:val="1"/>
          <w:numId w:val="9"/>
        </w:numPr>
        <w:tabs>
          <w:tab w:val="clear" w:pos="2160"/>
          <w:tab w:val="num" w:pos="720"/>
        </w:tabs>
        <w:ind w:left="720" w:hanging="720"/>
        <w:jc w:val="left"/>
      </w:pPr>
      <w:r>
        <w:rPr>
          <w:b/>
          <w:i/>
        </w:rPr>
        <w:t xml:space="preserve">EISA and AB1109 have changed the landscape of high brightness bulbs. </w:t>
      </w:r>
      <w:r>
        <w:t>While only 5% of bulbs met these standards in NEEA service territory prior to legislative phase in (2011), 67% of bulbs met the standards one year after (2012).</w:t>
      </w:r>
      <w:r w:rsidRPr="00671591">
        <w:t xml:space="preserve"> </w:t>
      </w:r>
      <w:r>
        <w:t>Similarly, California big box stores carried only 6% of complaint bulbs prior to legis</w:t>
      </w:r>
      <w:r w:rsidRPr="004C0F9D">
        <w:t>lation (2009), and increased to 97% two years after (2012).</w:t>
      </w:r>
    </w:p>
    <w:p w14:paraId="1B08D765" w14:textId="6F5A42C3" w:rsidR="0078313F" w:rsidRDefault="0078313F" w:rsidP="00805DC4">
      <w:pPr>
        <w:numPr>
          <w:ilvl w:val="1"/>
          <w:numId w:val="9"/>
        </w:numPr>
        <w:tabs>
          <w:tab w:val="clear" w:pos="2160"/>
          <w:tab w:val="num" w:pos="720"/>
        </w:tabs>
        <w:ind w:left="720" w:hanging="720"/>
        <w:jc w:val="left"/>
      </w:pPr>
      <w:r>
        <w:rPr>
          <w:b/>
          <w:i/>
        </w:rPr>
        <w:t>Consumer awareness remains extremely low</w:t>
      </w:r>
      <w:r w:rsidRPr="0078313F">
        <w:t>.</w:t>
      </w:r>
      <w:r>
        <w:t xml:space="preserve"> </w:t>
      </w:r>
      <w:r w:rsidR="00671591">
        <w:t xml:space="preserve">Studies conducted </w:t>
      </w:r>
      <w:r w:rsidR="007013C1">
        <w:t xml:space="preserve">2010 </w:t>
      </w:r>
      <w:r w:rsidR="00671591">
        <w:t xml:space="preserve">– 2013 </w:t>
      </w:r>
      <w:r w:rsidR="00D75DFA">
        <w:t xml:space="preserve">in a number of areas in the U.S. have found that less than half of consumers are aware of EISA. </w:t>
      </w:r>
      <w:r w:rsidR="000874F3">
        <w:t xml:space="preserve">Of the states polled, </w:t>
      </w:r>
      <w:r w:rsidR="009575B5">
        <w:t>a</w:t>
      </w:r>
      <w:r w:rsidR="00303E20">
        <w:t>wareness was highest in Wyoming</w:t>
      </w:r>
      <w:r w:rsidR="00671591">
        <w:t xml:space="preserve"> and Illinois. </w:t>
      </w:r>
    </w:p>
    <w:p w14:paraId="3FEA8CEE" w14:textId="60A52CF9" w:rsidR="00805DC4" w:rsidRDefault="00671591" w:rsidP="00A02FDB">
      <w:pPr>
        <w:numPr>
          <w:ilvl w:val="1"/>
          <w:numId w:val="9"/>
        </w:numPr>
        <w:tabs>
          <w:tab w:val="clear" w:pos="2160"/>
          <w:tab w:val="num" w:pos="720"/>
        </w:tabs>
        <w:ind w:left="720" w:hanging="720"/>
        <w:jc w:val="left"/>
      </w:pPr>
      <w:r>
        <w:rPr>
          <w:b/>
          <w:i/>
        </w:rPr>
        <w:t xml:space="preserve">Consumers stockpiled 100 watt bulbs less than anticipated. </w:t>
      </w:r>
      <w:r>
        <w:t xml:space="preserve">Only 8% of respondents in the Carolinas and 1% of respondents in </w:t>
      </w:r>
      <w:r w:rsidR="00FF3477">
        <w:t xml:space="preserve">New York </w:t>
      </w:r>
      <w:r w:rsidR="00892113">
        <w:t xml:space="preserve">indicated that they bought extra 100 watt bulbs in preparation for the new laws. </w:t>
      </w:r>
    </w:p>
    <w:p w14:paraId="5A77C057" w14:textId="77777777" w:rsidR="00FF3477" w:rsidRDefault="00FF3477" w:rsidP="00EE0F26">
      <w:pPr>
        <w:ind w:firstLine="0"/>
        <w:jc w:val="left"/>
      </w:pPr>
    </w:p>
    <w:p w14:paraId="7CF3AEB5" w14:textId="3BBB464B" w:rsidR="001738DF" w:rsidRDefault="001D48C2" w:rsidP="00EE0F26">
      <w:pPr>
        <w:ind w:firstLine="0"/>
        <w:jc w:val="left"/>
      </w:pPr>
      <w:r w:rsidRPr="00666489">
        <w:t>While</w:t>
      </w:r>
      <w:r w:rsidRPr="00C3269D">
        <w:t xml:space="preserve"> EISA appears to be changing </w:t>
      </w:r>
      <w:r w:rsidR="00FF3477" w:rsidRPr="00C3269D">
        <w:t xml:space="preserve">the market for lighting products, the change is happening </w:t>
      </w:r>
      <w:r w:rsidR="004F7C4C" w:rsidRPr="00D85C28">
        <w:t>slower</w:t>
      </w:r>
      <w:r w:rsidR="00FF3477" w:rsidRPr="00C3269D">
        <w:t xml:space="preserve"> than anticipated</w:t>
      </w:r>
      <w:r w:rsidR="004F7C4C" w:rsidRPr="00D85C28">
        <w:t xml:space="preserve"> and with less resistance</w:t>
      </w:r>
      <w:r w:rsidR="00FF3477" w:rsidRPr="00C3269D">
        <w:t>.</w:t>
      </w:r>
      <w:r w:rsidR="004F7C4C">
        <w:t xml:space="preserve"> </w:t>
      </w:r>
      <w:r w:rsidR="00C3269D">
        <w:t xml:space="preserve">Regulators and evaluators should consider this longer sell-through period in their baseline estimates. </w:t>
      </w:r>
      <w:proofErr w:type="gramStart"/>
      <w:r w:rsidR="00C3269D">
        <w:t>While EISA compliant bulbs may be more efficient that their pre-EISA equivalents, technologies such as LEDs, will offer superior energy savings.</w:t>
      </w:r>
      <w:proofErr w:type="gramEnd"/>
      <w:r w:rsidR="00C3269D">
        <w:t xml:space="preserve"> Programs should encourage customers toward more efficient lighting technologies to ensure consumers do not perceive EISA compliant bulbs as the most efficient lighting option. </w:t>
      </w:r>
    </w:p>
    <w:p w14:paraId="655B8274" w14:textId="77777777" w:rsidR="001D48C2" w:rsidRDefault="001D48C2" w:rsidP="00EE0F26">
      <w:pPr>
        <w:pStyle w:val="Heading1"/>
        <w:jc w:val="left"/>
      </w:pPr>
    </w:p>
    <w:p w14:paraId="2B825F66" w14:textId="77777777" w:rsidR="001738DF" w:rsidRDefault="001738DF" w:rsidP="00EE0F26">
      <w:pPr>
        <w:pStyle w:val="Heading1"/>
        <w:jc w:val="left"/>
      </w:pPr>
      <w:r>
        <w:t>References</w:t>
      </w:r>
    </w:p>
    <w:p w14:paraId="37089A08" w14:textId="77777777" w:rsidR="009174DB" w:rsidRDefault="009174DB" w:rsidP="00043C2C">
      <w:pPr>
        <w:pStyle w:val="references"/>
        <w:jc w:val="left"/>
      </w:pPr>
    </w:p>
    <w:p w14:paraId="6A15E954" w14:textId="77777777" w:rsidR="00043C2C" w:rsidRDefault="00043C2C" w:rsidP="00043C2C">
      <w:pPr>
        <w:pStyle w:val="references"/>
        <w:jc w:val="left"/>
      </w:pPr>
      <w:proofErr w:type="gramStart"/>
      <w:r>
        <w:t xml:space="preserve">The Cadmus Group, </w:t>
      </w:r>
      <w:proofErr w:type="spellStart"/>
      <w:r>
        <w:t>Inc</w:t>
      </w:r>
      <w:proofErr w:type="spellEnd"/>
      <w:r>
        <w:t xml:space="preserve"> / Energy Services.</w:t>
      </w:r>
      <w:proofErr w:type="gramEnd"/>
      <w:r>
        <w:t xml:space="preserve"> </w:t>
      </w:r>
      <w:proofErr w:type="gramStart"/>
      <w:r>
        <w:t>Rocky Mountain Power Wyoming Residential Home Energy Savings Evaluation.</w:t>
      </w:r>
      <w:proofErr w:type="gramEnd"/>
      <w:r>
        <w:t xml:space="preserve"> October, 2011.</w:t>
      </w:r>
    </w:p>
    <w:p w14:paraId="65A534D3" w14:textId="77777777" w:rsidR="00043C2C" w:rsidRDefault="00043C2C" w:rsidP="00043C2C">
      <w:pPr>
        <w:pStyle w:val="references"/>
        <w:jc w:val="left"/>
      </w:pPr>
    </w:p>
    <w:p w14:paraId="0DE85F6B" w14:textId="77777777" w:rsidR="00043C2C" w:rsidRDefault="00043C2C" w:rsidP="00043C2C">
      <w:pPr>
        <w:pStyle w:val="references"/>
        <w:jc w:val="left"/>
      </w:pPr>
      <w:proofErr w:type="gramStart"/>
      <w:r>
        <w:t xml:space="preserve">The Cadmus Group, </w:t>
      </w:r>
      <w:proofErr w:type="spellStart"/>
      <w:r>
        <w:t>Inc</w:t>
      </w:r>
      <w:proofErr w:type="spellEnd"/>
      <w:r>
        <w:t xml:space="preserve"> / Energy Services.</w:t>
      </w:r>
      <w:proofErr w:type="gramEnd"/>
      <w:r>
        <w:t xml:space="preserve"> </w:t>
      </w:r>
      <w:proofErr w:type="gramStart"/>
      <w:r>
        <w:t>Pacific Power Washington 2009-2010 Home Energy Savings Evaluation.</w:t>
      </w:r>
      <w:proofErr w:type="gramEnd"/>
      <w:r>
        <w:t xml:space="preserve"> 2012.</w:t>
      </w:r>
    </w:p>
    <w:p w14:paraId="26A13A67" w14:textId="77777777" w:rsidR="00043C2C" w:rsidRDefault="00043C2C" w:rsidP="00043C2C">
      <w:pPr>
        <w:pStyle w:val="references"/>
        <w:jc w:val="left"/>
      </w:pPr>
    </w:p>
    <w:p w14:paraId="5D526691" w14:textId="5A8B6CA3" w:rsidR="00B74BEB" w:rsidRDefault="00B74BEB" w:rsidP="00B74BEB">
      <w:pPr>
        <w:pStyle w:val="references"/>
        <w:jc w:val="left"/>
      </w:pPr>
      <w:proofErr w:type="gramStart"/>
      <w:r>
        <w:t xml:space="preserve">The Cadmus Group, </w:t>
      </w:r>
      <w:proofErr w:type="spellStart"/>
      <w:r>
        <w:t>Inc</w:t>
      </w:r>
      <w:proofErr w:type="spellEnd"/>
      <w:r>
        <w:t xml:space="preserve"> / Energy Services.</w:t>
      </w:r>
      <w:proofErr w:type="gramEnd"/>
      <w:r>
        <w:t xml:space="preserve"> </w:t>
      </w:r>
      <w:proofErr w:type="gramStart"/>
      <w:r>
        <w:t>Pacific Power California 2009-2010 Home Energy Savings Evaluation.</w:t>
      </w:r>
      <w:proofErr w:type="gramEnd"/>
      <w:r>
        <w:t xml:space="preserve"> 2012.</w:t>
      </w:r>
    </w:p>
    <w:p w14:paraId="31D39A95" w14:textId="77777777" w:rsidR="00B74BEB" w:rsidRDefault="00B74BEB" w:rsidP="00B74BEB">
      <w:pPr>
        <w:pStyle w:val="references"/>
        <w:jc w:val="left"/>
      </w:pPr>
    </w:p>
    <w:p w14:paraId="3D35A42A" w14:textId="14596838" w:rsidR="00B74BEB" w:rsidRDefault="00B74BEB" w:rsidP="00B74BEB">
      <w:pPr>
        <w:pStyle w:val="references"/>
        <w:jc w:val="left"/>
      </w:pPr>
      <w:proofErr w:type="gramStart"/>
      <w:r>
        <w:t xml:space="preserve">The Cadmus Group, </w:t>
      </w:r>
      <w:proofErr w:type="spellStart"/>
      <w:r>
        <w:t>Inc</w:t>
      </w:r>
      <w:proofErr w:type="spellEnd"/>
      <w:r>
        <w:t xml:space="preserve"> / Energy Services.</w:t>
      </w:r>
      <w:proofErr w:type="gramEnd"/>
      <w:r>
        <w:t xml:space="preserve"> </w:t>
      </w:r>
      <w:proofErr w:type="gramStart"/>
      <w:r>
        <w:t>Rocky Mountain Power Idaho 2009-2010 Home Energy Savings Evaluation.</w:t>
      </w:r>
      <w:proofErr w:type="gramEnd"/>
      <w:r>
        <w:t xml:space="preserve"> 2012.</w:t>
      </w:r>
    </w:p>
    <w:p w14:paraId="5F97EBE2" w14:textId="77777777" w:rsidR="00D20043" w:rsidRDefault="00D20043" w:rsidP="00D20043">
      <w:pPr>
        <w:pStyle w:val="references"/>
        <w:ind w:left="0" w:firstLine="0"/>
        <w:jc w:val="left"/>
      </w:pPr>
    </w:p>
    <w:p w14:paraId="78A5B800" w14:textId="67BF5C8D" w:rsidR="004A6385" w:rsidRDefault="004A6385" w:rsidP="00D20043">
      <w:pPr>
        <w:pStyle w:val="references"/>
        <w:jc w:val="left"/>
      </w:pPr>
      <w:proofErr w:type="gramStart"/>
      <w:r>
        <w:t xml:space="preserve">The Cadmus Group, </w:t>
      </w:r>
      <w:proofErr w:type="spellStart"/>
      <w:r>
        <w:t>Inc</w:t>
      </w:r>
      <w:proofErr w:type="spellEnd"/>
      <w:r>
        <w:t xml:space="preserve"> and NMR Group, Inc. Residential Lighting Shelf Survey and Pricing Analysis (MA).</w:t>
      </w:r>
      <w:proofErr w:type="gramEnd"/>
      <w:r>
        <w:t xml:space="preserve"> June 8, 2013. </w:t>
      </w:r>
    </w:p>
    <w:p w14:paraId="2BC354D3" w14:textId="79D10C2B" w:rsidR="00D20043" w:rsidRDefault="00D20043" w:rsidP="00D20043">
      <w:pPr>
        <w:pStyle w:val="references"/>
        <w:jc w:val="left"/>
      </w:pPr>
      <w:proofErr w:type="gramStart"/>
      <w:r>
        <w:t xml:space="preserve">DNV </w:t>
      </w:r>
      <w:proofErr w:type="spellStart"/>
      <w:r>
        <w:t>Kema</w:t>
      </w:r>
      <w:proofErr w:type="spellEnd"/>
      <w:r>
        <w:t xml:space="preserve"> Energy &amp; Sustainability.</w:t>
      </w:r>
      <w:proofErr w:type="gramEnd"/>
      <w:r>
        <w:t xml:space="preserve"> </w:t>
      </w:r>
      <w:proofErr w:type="gramStart"/>
      <w:r>
        <w:t>Assessment of the Early Effects of EISA and AB 1109 in California.</w:t>
      </w:r>
      <w:proofErr w:type="gramEnd"/>
      <w:r>
        <w:t xml:space="preserve"> 2013</w:t>
      </w:r>
      <w:r w:rsidR="00232063">
        <w:t>.</w:t>
      </w:r>
    </w:p>
    <w:p w14:paraId="60504E72" w14:textId="77777777" w:rsidR="00D20043" w:rsidRDefault="00D20043" w:rsidP="00D20043">
      <w:pPr>
        <w:pStyle w:val="references"/>
        <w:jc w:val="left"/>
      </w:pPr>
    </w:p>
    <w:p w14:paraId="27DFDF40" w14:textId="54847D8A" w:rsidR="00D20043" w:rsidRDefault="00D20043" w:rsidP="00043C2C">
      <w:pPr>
        <w:pStyle w:val="references"/>
        <w:jc w:val="left"/>
      </w:pPr>
      <w:proofErr w:type="gramStart"/>
      <w:r>
        <w:lastRenderedPageBreak/>
        <w:t xml:space="preserve">DNV </w:t>
      </w:r>
      <w:proofErr w:type="spellStart"/>
      <w:r>
        <w:t>Kema</w:t>
      </w:r>
      <w:proofErr w:type="spellEnd"/>
      <w:r>
        <w:t xml:space="preserve"> Energy &amp; Sustainability.</w:t>
      </w:r>
      <w:proofErr w:type="gramEnd"/>
      <w:r>
        <w:t xml:space="preserve"> </w:t>
      </w:r>
      <w:proofErr w:type="gramStart"/>
      <w:r>
        <w:t>2012-2013 Northwest Residential Lighting Market Tracking Study.</w:t>
      </w:r>
      <w:proofErr w:type="gramEnd"/>
      <w:r>
        <w:t xml:space="preserve"> 2013</w:t>
      </w:r>
      <w:r w:rsidR="00232063">
        <w:t>.</w:t>
      </w:r>
    </w:p>
    <w:p w14:paraId="3A7583CF" w14:textId="77777777" w:rsidR="00D20043" w:rsidRDefault="00D20043" w:rsidP="00043C2C">
      <w:pPr>
        <w:pStyle w:val="references"/>
        <w:jc w:val="left"/>
      </w:pPr>
    </w:p>
    <w:p w14:paraId="57B4BE6A" w14:textId="3018D687" w:rsidR="00D20043" w:rsidRDefault="00D20043" w:rsidP="00D20043">
      <w:pPr>
        <w:pStyle w:val="references"/>
        <w:jc w:val="left"/>
      </w:pPr>
      <w:proofErr w:type="gramStart"/>
      <w:r>
        <w:t>Navigant Consulting and Apex Analytics.</w:t>
      </w:r>
      <w:proofErr w:type="gramEnd"/>
      <w:r>
        <w:t xml:space="preserve"> </w:t>
      </w:r>
      <w:proofErr w:type="gramStart"/>
      <w:r>
        <w:t>EM&amp;V Report for the 2012 Energy Efficient Lighting Program for Duke Energy Progress.</w:t>
      </w:r>
      <w:proofErr w:type="gramEnd"/>
      <w:r>
        <w:t xml:space="preserve"> 2013.</w:t>
      </w:r>
    </w:p>
    <w:p w14:paraId="3F26019E" w14:textId="77777777" w:rsidR="00D20043" w:rsidRDefault="00D20043" w:rsidP="00D20043">
      <w:pPr>
        <w:pStyle w:val="references"/>
        <w:jc w:val="left"/>
      </w:pPr>
    </w:p>
    <w:p w14:paraId="0846C651" w14:textId="0243EB51" w:rsidR="00D20043" w:rsidRDefault="00D20043" w:rsidP="00D20043">
      <w:pPr>
        <w:pStyle w:val="references"/>
        <w:jc w:val="left"/>
      </w:pPr>
      <w:r>
        <w:t xml:space="preserve">Navigant Consulting and </w:t>
      </w:r>
      <w:proofErr w:type="spellStart"/>
      <w:r>
        <w:t>Itron</w:t>
      </w:r>
      <w:proofErr w:type="spellEnd"/>
      <w:r>
        <w:t>, Inc. Commonwealth Edison</w:t>
      </w:r>
      <w:proofErr w:type="gramStart"/>
      <w:r>
        <w:t xml:space="preserve">,  </w:t>
      </w:r>
      <w:r w:rsidRPr="00043C2C">
        <w:t>PY3</w:t>
      </w:r>
      <w:proofErr w:type="gramEnd"/>
      <w:r w:rsidRPr="00043C2C">
        <w:t xml:space="preserve"> Residential Utility ENERGY STAR Lighting Program Evaluation</w:t>
      </w:r>
      <w:r>
        <w:t xml:space="preserve">. </w:t>
      </w:r>
      <w:r w:rsidR="0089662E">
        <w:t>2011</w:t>
      </w:r>
      <w:r w:rsidR="00BC0B34">
        <w:t>.</w:t>
      </w:r>
    </w:p>
    <w:p w14:paraId="6EB2627E" w14:textId="77777777" w:rsidR="00D20043" w:rsidRDefault="00D20043" w:rsidP="00D20043">
      <w:pPr>
        <w:pStyle w:val="references"/>
        <w:jc w:val="left"/>
      </w:pPr>
    </w:p>
    <w:p w14:paraId="5B2C41C8" w14:textId="067869EE" w:rsidR="00043C2C" w:rsidRDefault="00A8694C" w:rsidP="00043C2C">
      <w:pPr>
        <w:pStyle w:val="references"/>
        <w:jc w:val="left"/>
      </w:pPr>
      <w:r>
        <w:t xml:space="preserve">Navigant Consulting and </w:t>
      </w:r>
      <w:proofErr w:type="spellStart"/>
      <w:r>
        <w:t>Itron</w:t>
      </w:r>
      <w:proofErr w:type="spellEnd"/>
      <w:r>
        <w:t>, Inc. Commonwealth Edison</w:t>
      </w:r>
      <w:proofErr w:type="gramStart"/>
      <w:r w:rsidR="00043C2C">
        <w:t xml:space="preserve">,  </w:t>
      </w:r>
      <w:r w:rsidR="00D20043">
        <w:t>PY5</w:t>
      </w:r>
      <w:proofErr w:type="gramEnd"/>
      <w:r w:rsidR="00043C2C" w:rsidRPr="00043C2C">
        <w:t xml:space="preserve"> Residential Utility ENERGY STAR Lighting Program Evaluation</w:t>
      </w:r>
      <w:r w:rsidR="00043C2C">
        <w:t xml:space="preserve">. </w:t>
      </w:r>
      <w:r w:rsidR="00D20043">
        <w:t>2013</w:t>
      </w:r>
      <w:r w:rsidR="00232063">
        <w:t>.</w:t>
      </w:r>
    </w:p>
    <w:p w14:paraId="4BE474BD" w14:textId="77777777" w:rsidR="00043C2C" w:rsidRDefault="00043C2C" w:rsidP="00043C2C">
      <w:pPr>
        <w:pStyle w:val="references"/>
        <w:jc w:val="left"/>
      </w:pPr>
    </w:p>
    <w:p w14:paraId="165F63C2" w14:textId="59DBC982" w:rsidR="00BD6874" w:rsidRDefault="00BD6874" w:rsidP="00BD6874">
      <w:pPr>
        <w:pStyle w:val="references"/>
        <w:jc w:val="left"/>
      </w:pPr>
      <w:proofErr w:type="gramStart"/>
      <w:r>
        <w:t>National Electrical Manufacturers Association.</w:t>
      </w:r>
      <w:proofErr w:type="gramEnd"/>
      <w:r>
        <w:t xml:space="preserve"> December 2011. NEMA Reiterates that </w:t>
      </w:r>
      <w:proofErr w:type="spellStart"/>
      <w:r>
        <w:t>Lightbulb</w:t>
      </w:r>
      <w:proofErr w:type="spellEnd"/>
      <w:r>
        <w:t xml:space="preserve"> Efficiency Standards </w:t>
      </w:r>
      <w:proofErr w:type="gramStart"/>
      <w:r>
        <w:t>Remain,</w:t>
      </w:r>
      <w:proofErr w:type="gramEnd"/>
      <w:r>
        <w:t xml:space="preserve"> Consumers Retain Diverse Options for Efficient </w:t>
      </w:r>
      <w:proofErr w:type="spellStart"/>
      <w:r>
        <w:t>Lightbulbs</w:t>
      </w:r>
      <w:proofErr w:type="spellEnd"/>
      <w:r>
        <w:t xml:space="preserve">. </w:t>
      </w:r>
      <w:hyperlink r:id="rId19" w:history="1">
        <w:r w:rsidR="00A8694C" w:rsidRPr="00A270AC">
          <w:rPr>
            <w:rStyle w:val="Hyperlink"/>
          </w:rPr>
          <w:t>http://www.nema.org/media/pr/20111216a.cfm</w:t>
        </w:r>
      </w:hyperlink>
    </w:p>
    <w:p w14:paraId="4C795CA8" w14:textId="77777777" w:rsidR="00D20043" w:rsidRDefault="00D20043" w:rsidP="00D20043">
      <w:pPr>
        <w:pStyle w:val="references"/>
        <w:ind w:left="0" w:firstLine="0"/>
        <w:jc w:val="left"/>
      </w:pPr>
    </w:p>
    <w:p w14:paraId="0A3A8761" w14:textId="77777777" w:rsidR="00AF338E" w:rsidRDefault="00A8694C" w:rsidP="00AF338E">
      <w:pPr>
        <w:pStyle w:val="references"/>
        <w:jc w:val="left"/>
      </w:pPr>
      <w:proofErr w:type="spellStart"/>
      <w:proofErr w:type="gramStart"/>
      <w:r>
        <w:t>Kema</w:t>
      </w:r>
      <w:proofErr w:type="spellEnd"/>
      <w:r>
        <w:t>.</w:t>
      </w:r>
      <w:proofErr w:type="gramEnd"/>
      <w:r>
        <w:t xml:space="preserve"> Northwest Energy Efficiency Alliance (NEEA), 2009-2010 Residential Lighting Market Research Study (Report #10-216). May 18, 2010.</w:t>
      </w:r>
    </w:p>
    <w:p w14:paraId="731AF0E4" w14:textId="77777777" w:rsidR="00AF338E" w:rsidRDefault="00AF338E" w:rsidP="00AF338E">
      <w:pPr>
        <w:pStyle w:val="references"/>
        <w:jc w:val="left"/>
      </w:pPr>
    </w:p>
    <w:p w14:paraId="66E46DA0" w14:textId="03B9B599" w:rsidR="00D20043" w:rsidRDefault="00D20043" w:rsidP="00AF338E">
      <w:pPr>
        <w:pStyle w:val="references"/>
        <w:jc w:val="left"/>
      </w:pPr>
      <w:proofErr w:type="gramStart"/>
      <w:r>
        <w:t>NMR Group, Inc. Connecticut Efficient Lightin</w:t>
      </w:r>
      <w:r w:rsidR="00232063">
        <w:t>g</w:t>
      </w:r>
      <w:r>
        <w:t xml:space="preserve"> Saturation and Market Assessment.</w:t>
      </w:r>
      <w:proofErr w:type="gramEnd"/>
      <w:r>
        <w:t xml:space="preserve"> 2012</w:t>
      </w:r>
      <w:r w:rsidR="00232063">
        <w:t>.</w:t>
      </w:r>
    </w:p>
    <w:p w14:paraId="49D1C601" w14:textId="77777777" w:rsidR="00D20043" w:rsidRDefault="00D20043" w:rsidP="00AF338E">
      <w:pPr>
        <w:pStyle w:val="references"/>
        <w:jc w:val="left"/>
      </w:pPr>
    </w:p>
    <w:p w14:paraId="77C339A6" w14:textId="03D4547B" w:rsidR="00D20043" w:rsidRDefault="00D20043" w:rsidP="00D20043">
      <w:pPr>
        <w:pStyle w:val="references"/>
        <w:jc w:val="left"/>
      </w:pPr>
      <w:proofErr w:type="gramStart"/>
      <w:r>
        <w:t>NMR Group, Inc. Summary of Preliminary Findings from the Residential Lighting POS Program Evaluation Study.</w:t>
      </w:r>
      <w:proofErr w:type="gramEnd"/>
      <w:r>
        <w:t xml:space="preserve"> July 24, 2013</w:t>
      </w:r>
      <w:r w:rsidR="00232063">
        <w:t>.</w:t>
      </w:r>
    </w:p>
    <w:p w14:paraId="729FB949" w14:textId="77777777" w:rsidR="00D20043" w:rsidRDefault="00D20043" w:rsidP="00D20043">
      <w:pPr>
        <w:pStyle w:val="references"/>
        <w:jc w:val="left"/>
      </w:pPr>
    </w:p>
    <w:p w14:paraId="4958C577" w14:textId="6641F8D4" w:rsidR="003616A7" w:rsidRDefault="003616A7" w:rsidP="00AF338E">
      <w:pPr>
        <w:pStyle w:val="references"/>
        <w:jc w:val="left"/>
      </w:pPr>
      <w:proofErr w:type="gramStart"/>
      <w:r>
        <w:t xml:space="preserve">NMR Group, </w:t>
      </w:r>
      <w:proofErr w:type="spellStart"/>
      <w:r>
        <w:t>Inc</w:t>
      </w:r>
      <w:proofErr w:type="spellEnd"/>
      <w:r>
        <w:t xml:space="preserve"> and Apex Analytics.</w:t>
      </w:r>
      <w:proofErr w:type="gramEnd"/>
      <w:r>
        <w:t xml:space="preserve"> </w:t>
      </w:r>
      <w:proofErr w:type="gramStart"/>
      <w:r>
        <w:t>Market Effects Market assessment, Process and Impact Evaluation of the NYSERDA Statewide Residential Point of Sale Lighting Program: 2010-2012.</w:t>
      </w:r>
      <w:proofErr w:type="gramEnd"/>
      <w:r>
        <w:t xml:space="preserve"> 2014.</w:t>
      </w:r>
    </w:p>
    <w:p w14:paraId="213582FA" w14:textId="77777777" w:rsidR="003616A7" w:rsidRDefault="003616A7" w:rsidP="00AF338E">
      <w:pPr>
        <w:pStyle w:val="references"/>
        <w:jc w:val="left"/>
      </w:pPr>
    </w:p>
    <w:p w14:paraId="3500BD08" w14:textId="026849F7" w:rsidR="001738DF" w:rsidRDefault="00043C2C" w:rsidP="00AF338E">
      <w:pPr>
        <w:pStyle w:val="references"/>
        <w:jc w:val="left"/>
      </w:pPr>
      <w:r>
        <w:t xml:space="preserve">NMR Group, Inc., Cadmus Group, </w:t>
      </w:r>
      <w:proofErr w:type="spellStart"/>
      <w:r>
        <w:t>Inc</w:t>
      </w:r>
      <w:proofErr w:type="spellEnd"/>
      <w:r>
        <w:t xml:space="preserve">, KEMA. </w:t>
      </w:r>
      <w:proofErr w:type="gramStart"/>
      <w:r>
        <w:t>Massachusetts ENERGY STAR Lighting Program 2010 Annual Report, Volumes 1 &amp; 2.</w:t>
      </w:r>
      <w:proofErr w:type="gramEnd"/>
      <w:r>
        <w:t xml:space="preserve"> June 15, 2011.</w:t>
      </w:r>
    </w:p>
    <w:p w14:paraId="1ED969F9" w14:textId="1AE156FD" w:rsidR="0073012C" w:rsidRDefault="0073012C" w:rsidP="00D85C28">
      <w:pPr>
        <w:pStyle w:val="references"/>
        <w:ind w:left="0" w:firstLine="0"/>
      </w:pPr>
    </w:p>
    <w:p w14:paraId="51D2E294" w14:textId="77777777" w:rsidR="006D348A" w:rsidRDefault="00BB11E8" w:rsidP="00DA2170">
      <w:pPr>
        <w:pStyle w:val="references"/>
      </w:pPr>
      <w:r>
        <w:t xml:space="preserve">NMR Group, Inc., Cadmus Group, </w:t>
      </w:r>
      <w:proofErr w:type="spellStart"/>
      <w:r>
        <w:t>Inc</w:t>
      </w:r>
      <w:proofErr w:type="spellEnd"/>
      <w:r>
        <w:t>, KEMA. Lighting Retailer, Supplier Perspectives on the Massachusetts ENERGY STAR Lighting Program (2011-2012). June 2013.</w:t>
      </w:r>
    </w:p>
    <w:p w14:paraId="5DE7EFFF" w14:textId="77777777" w:rsidR="006D348A" w:rsidRDefault="006D348A" w:rsidP="00DA2170">
      <w:pPr>
        <w:pStyle w:val="references"/>
      </w:pPr>
    </w:p>
    <w:p w14:paraId="389F9A1C" w14:textId="77777777" w:rsidR="006D348A" w:rsidRDefault="006D348A" w:rsidP="006D348A">
      <w:pPr>
        <w:pStyle w:val="references"/>
      </w:pPr>
      <w:proofErr w:type="gramStart"/>
      <w:r>
        <w:t>NMR Group, Inc. and DNV-KEMA.</w:t>
      </w:r>
      <w:proofErr w:type="gramEnd"/>
      <w:r>
        <w:t xml:space="preserve"> Massachusetts Energy Star Lighting Program: Early Impacts of EISA. June 2013.</w:t>
      </w:r>
    </w:p>
    <w:p w14:paraId="50B72D7D" w14:textId="224B2A39" w:rsidR="00BB11E8" w:rsidRDefault="00BB11E8" w:rsidP="00DA2170">
      <w:pPr>
        <w:pStyle w:val="references"/>
      </w:pPr>
      <w:r>
        <w:t xml:space="preserve"> </w:t>
      </w:r>
    </w:p>
    <w:p w14:paraId="5C8A4276" w14:textId="2309446B" w:rsidR="000B0BEE" w:rsidRPr="00DA2170" w:rsidRDefault="000B0BEE" w:rsidP="00D85C28">
      <w:pPr>
        <w:pStyle w:val="references"/>
        <w:ind w:left="0" w:firstLine="0"/>
      </w:pPr>
    </w:p>
    <w:sectPr w:rsidR="000B0BEE" w:rsidRPr="00DA2170" w:rsidSect="00AD3FCE">
      <w:headerReference w:type="even" r:id="rId20"/>
      <w:headerReference w:type="default" r:id="rId21"/>
      <w:footerReference w:type="even" r:id="rId22"/>
      <w:footerReference w:type="default" r:id="rId23"/>
      <w:headerReference w:type="first" r:id="rId24"/>
      <w:footerReference w:type="first" r:id="rId25"/>
      <w:pgSz w:w="12240" w:h="15840" w:code="1"/>
      <w:pgMar w:top="1440" w:right="1440" w:bottom="1440" w:left="1440" w:header="144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AE83224" w14:textId="77777777" w:rsidR="000B2E61" w:rsidRDefault="000B2E61">
      <w:r>
        <w:separator/>
      </w:r>
    </w:p>
  </w:endnote>
  <w:endnote w:type="continuationSeparator" w:id="0">
    <w:p w14:paraId="7EE50C12" w14:textId="77777777" w:rsidR="000B2E61" w:rsidRDefault="000B2E61">
      <w:r>
        <w:continuationSeparator/>
      </w:r>
    </w:p>
  </w:endnote>
  <w:endnote w:type="continuationNotice" w:id="1">
    <w:p w14:paraId="70C265CF" w14:textId="77777777" w:rsidR="000B2E61" w:rsidRDefault="000B2E6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WP MathA">
    <w:panose1 w:val="00000000000000000000"/>
    <w:charset w:val="02"/>
    <w:family w:val="auto"/>
    <w:notTrueType/>
    <w:pitch w:val="variable"/>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437822" w14:textId="77777777" w:rsidR="000B2E61" w:rsidRDefault="000B2E6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1C8DBE" w14:textId="77777777" w:rsidR="000B2E61" w:rsidRDefault="000B2E6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95E9E29" w14:textId="77777777" w:rsidR="000B2E61" w:rsidRDefault="000B2E6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B48064" w14:textId="77777777" w:rsidR="000B2E61" w:rsidRDefault="000B2E61">
      <w:r>
        <w:separator/>
      </w:r>
    </w:p>
  </w:footnote>
  <w:footnote w:type="continuationSeparator" w:id="0">
    <w:p w14:paraId="1270A4A4" w14:textId="77777777" w:rsidR="000B2E61" w:rsidRDefault="000B2E61">
      <w:r>
        <w:continuationSeparator/>
      </w:r>
    </w:p>
  </w:footnote>
  <w:footnote w:type="continuationNotice" w:id="1">
    <w:p w14:paraId="0329516A" w14:textId="77777777" w:rsidR="000B2E61" w:rsidRDefault="000B2E61"/>
  </w:footnote>
  <w:footnote w:id="2">
    <w:p w14:paraId="6F189D9D" w14:textId="7FB087B5" w:rsidR="000B2E61" w:rsidRDefault="000B2E61">
      <w:pPr>
        <w:pStyle w:val="FootnoteText"/>
      </w:pPr>
      <w:r>
        <w:rPr>
          <w:rStyle w:val="FootnoteReference"/>
        </w:rPr>
        <w:footnoteRef/>
      </w:r>
      <w:r>
        <w:t xml:space="preserve"> The full text of EISA is available at </w:t>
      </w:r>
      <w:r w:rsidRPr="00C50FCA">
        <w:t>http://www.gpo.gov/fdsys/pkg/BILLS-110hr6enr/pdf/BILLS-110hr6enr.pdf</w:t>
      </w:r>
    </w:p>
  </w:footnote>
  <w:footnote w:id="3">
    <w:p w14:paraId="779D0E89" w14:textId="77777777" w:rsidR="000B2E61" w:rsidRPr="001C6141" w:rsidRDefault="000B2E61">
      <w:pPr>
        <w:pStyle w:val="FootnoteText"/>
      </w:pPr>
      <w:r>
        <w:rPr>
          <w:rStyle w:val="FootnoteReference"/>
        </w:rPr>
        <w:footnoteRef/>
      </w:r>
      <w:r>
        <w:t xml:space="preserve"> See </w:t>
      </w:r>
      <w:hyperlink r:id="rId1" w:history="1">
        <w:r w:rsidRPr="00250318">
          <w:rPr>
            <w:rStyle w:val="Hyperlink"/>
          </w:rPr>
          <w:t>http://www.nema.org/gov/energy/positions/</w:t>
        </w:r>
      </w:hyperlink>
      <w:r>
        <w:t xml:space="preserve"> for NEMA press releases regarding their support of EISA.</w:t>
      </w:r>
    </w:p>
  </w:footnote>
  <w:footnote w:id="4">
    <w:p w14:paraId="6C24FBF0" w14:textId="2D7D0ED3" w:rsidR="000B2E61" w:rsidRDefault="000B2E61" w:rsidP="001329A1">
      <w:pPr>
        <w:pStyle w:val="FootnoteText"/>
      </w:pPr>
      <w:r>
        <w:rPr>
          <w:rStyle w:val="FootnoteReference"/>
        </w:rPr>
        <w:footnoteRef/>
      </w:r>
      <w:r>
        <w:t xml:space="preserve"> Note, however, there are some national reta</w:t>
      </w:r>
      <w:r w:rsidR="00D355AE">
        <w:t xml:space="preserve">ilers, such as Ikea and </w:t>
      </w:r>
      <w:proofErr w:type="gramStart"/>
      <w:r w:rsidR="00D355AE">
        <w:t xml:space="preserve">Target, </w:t>
      </w:r>
      <w:r>
        <w:t>that</w:t>
      </w:r>
      <w:proofErr w:type="gramEnd"/>
      <w:r>
        <w:t xml:space="preserve"> have publically stated they are phasing out legacy incandescent bulbs in advance of EISA.</w:t>
      </w:r>
    </w:p>
  </w:footnote>
  <w:footnote w:id="5">
    <w:p w14:paraId="5F9BCCD8" w14:textId="409D968F" w:rsidR="004A6385" w:rsidRDefault="004A6385">
      <w:pPr>
        <w:pStyle w:val="FootnoteText"/>
      </w:pPr>
      <w:r>
        <w:rPr>
          <w:rStyle w:val="FootnoteReference"/>
        </w:rPr>
        <w:footnoteRef/>
      </w:r>
      <w:r>
        <w:t xml:space="preserve"> Weighted average of participant and non-participant visited stores. </w:t>
      </w:r>
    </w:p>
  </w:footnote>
  <w:footnote w:id="6">
    <w:p w14:paraId="4C928863" w14:textId="77777777" w:rsidR="002120F5" w:rsidRDefault="002120F5" w:rsidP="002120F5">
      <w:pPr>
        <w:pStyle w:val="FootnoteText"/>
      </w:pPr>
      <w:r>
        <w:rPr>
          <w:rStyle w:val="FootnoteReference"/>
        </w:rPr>
        <w:footnoteRef/>
      </w:r>
      <w:r>
        <w:t xml:space="preserve"> A</w:t>
      </w:r>
      <w:r w:rsidRPr="00DA2A7E">
        <w:t>ll of t</w:t>
      </w:r>
      <w:r>
        <w:t>he studies used aided awareness questions, or questions that prompted the respondent of the legislation,</w:t>
      </w:r>
      <w:r w:rsidRPr="00DA2A7E">
        <w:t xml:space="preserve"> to assess consumer awareness.</w:t>
      </w:r>
    </w:p>
  </w:footnote>
  <w:footnote w:id="7">
    <w:p w14:paraId="049401A4" w14:textId="77777777" w:rsidR="002120F5" w:rsidRDefault="002120F5" w:rsidP="002120F5">
      <w:pPr>
        <w:pStyle w:val="FootnoteText"/>
      </w:pPr>
      <w:r>
        <w:rPr>
          <w:rStyle w:val="FootnoteReference"/>
        </w:rPr>
        <w:footnoteRef/>
      </w:r>
      <w:r>
        <w:t xml:space="preserve"> A</w:t>
      </w:r>
      <w:r w:rsidRPr="00DA2A7E">
        <w:t>ll of t</w:t>
      </w:r>
      <w:r>
        <w:t>he studies used aided awareness questions, or questions that prompted the respondent of the legislation,</w:t>
      </w:r>
      <w:r w:rsidRPr="00DA2A7E">
        <w:t xml:space="preserve"> to assess consumer awareness.</w:t>
      </w:r>
    </w:p>
  </w:footnote>
  <w:footnote w:id="8">
    <w:p w14:paraId="752BF987" w14:textId="77777777" w:rsidR="004A6385" w:rsidRDefault="004A6385" w:rsidP="004A6385">
      <w:pPr>
        <w:pStyle w:val="FootnoteText"/>
      </w:pPr>
      <w:r>
        <w:rPr>
          <w:rStyle w:val="FootnoteReference"/>
        </w:rPr>
        <w:footnoteRef/>
      </w:r>
      <w:r>
        <w:t xml:space="preserve"> Weighted average of participant and non-participant visited stores.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2B46CB" w14:textId="77777777" w:rsidR="000B2E61" w:rsidRDefault="000B2E6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E75F85" w14:textId="77777777" w:rsidR="000B2E61" w:rsidRDefault="000B2E6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7E30D4" w14:textId="77777777" w:rsidR="000B2E61" w:rsidRDefault="000B2E61">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F63C52"/>
    <w:lvl w:ilvl="0">
      <w:start w:val="1"/>
      <w:numFmt w:val="decimal"/>
      <w:lvlText w:val="%1."/>
      <w:lvlJc w:val="left"/>
      <w:pPr>
        <w:tabs>
          <w:tab w:val="num" w:pos="1800"/>
        </w:tabs>
        <w:ind w:left="1800" w:hanging="360"/>
      </w:pPr>
    </w:lvl>
  </w:abstractNum>
  <w:abstractNum w:abstractNumId="1">
    <w:nsid w:val="FFFFFF7D"/>
    <w:multiLevelType w:val="singleLevel"/>
    <w:tmpl w:val="2AA42BDA"/>
    <w:lvl w:ilvl="0">
      <w:start w:val="1"/>
      <w:numFmt w:val="decimal"/>
      <w:lvlText w:val="%1."/>
      <w:lvlJc w:val="left"/>
      <w:pPr>
        <w:tabs>
          <w:tab w:val="num" w:pos="1440"/>
        </w:tabs>
        <w:ind w:left="1440" w:hanging="360"/>
      </w:pPr>
    </w:lvl>
  </w:abstractNum>
  <w:abstractNum w:abstractNumId="2">
    <w:nsid w:val="FFFFFF7E"/>
    <w:multiLevelType w:val="singleLevel"/>
    <w:tmpl w:val="889065AE"/>
    <w:lvl w:ilvl="0">
      <w:start w:val="1"/>
      <w:numFmt w:val="decimal"/>
      <w:lvlText w:val="%1."/>
      <w:lvlJc w:val="left"/>
      <w:pPr>
        <w:tabs>
          <w:tab w:val="num" w:pos="1080"/>
        </w:tabs>
        <w:ind w:left="1080" w:hanging="360"/>
      </w:pPr>
    </w:lvl>
  </w:abstractNum>
  <w:abstractNum w:abstractNumId="3">
    <w:nsid w:val="FFFFFF7F"/>
    <w:multiLevelType w:val="singleLevel"/>
    <w:tmpl w:val="2F261AEE"/>
    <w:lvl w:ilvl="0">
      <w:start w:val="1"/>
      <w:numFmt w:val="decimal"/>
      <w:lvlText w:val="%1."/>
      <w:lvlJc w:val="left"/>
      <w:pPr>
        <w:tabs>
          <w:tab w:val="num" w:pos="720"/>
        </w:tabs>
        <w:ind w:left="720" w:hanging="360"/>
      </w:pPr>
    </w:lvl>
  </w:abstractNum>
  <w:abstractNum w:abstractNumId="4">
    <w:nsid w:val="FFFFFF80"/>
    <w:multiLevelType w:val="singleLevel"/>
    <w:tmpl w:val="56C2CB9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CB285A6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B49A28F0"/>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EE66663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B06A5A28"/>
    <w:lvl w:ilvl="0">
      <w:start w:val="1"/>
      <w:numFmt w:val="decimal"/>
      <w:lvlText w:val="%1."/>
      <w:lvlJc w:val="left"/>
      <w:pPr>
        <w:tabs>
          <w:tab w:val="num" w:pos="360"/>
        </w:tabs>
        <w:ind w:left="360" w:hanging="360"/>
      </w:pPr>
    </w:lvl>
  </w:abstractNum>
  <w:abstractNum w:abstractNumId="9">
    <w:nsid w:val="FFFFFF89"/>
    <w:multiLevelType w:val="singleLevel"/>
    <w:tmpl w:val="5214234A"/>
    <w:lvl w:ilvl="0">
      <w:start w:val="1"/>
      <w:numFmt w:val="bullet"/>
      <w:lvlText w:val=""/>
      <w:lvlJc w:val="left"/>
      <w:pPr>
        <w:tabs>
          <w:tab w:val="num" w:pos="360"/>
        </w:tabs>
        <w:ind w:left="360" w:hanging="360"/>
      </w:pPr>
      <w:rPr>
        <w:rFonts w:ascii="Symbol" w:hAnsi="Symbol" w:hint="default"/>
      </w:rPr>
    </w:lvl>
  </w:abstractNum>
  <w:abstractNum w:abstractNumId="10">
    <w:nsid w:val="09A07915"/>
    <w:multiLevelType w:val="hybridMultilevel"/>
    <w:tmpl w:val="F0FC8B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0FDA5B85"/>
    <w:multiLevelType w:val="hybridMultilevel"/>
    <w:tmpl w:val="13701E5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nsid w:val="146050AF"/>
    <w:multiLevelType w:val="multilevel"/>
    <w:tmpl w:val="51EC5C82"/>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14B77103"/>
    <w:multiLevelType w:val="hybridMultilevel"/>
    <w:tmpl w:val="BB96E7A0"/>
    <w:lvl w:ilvl="0" w:tplc="2E0E33B4">
      <w:start w:val="1"/>
      <w:numFmt w:val="bullet"/>
      <w:lvlText w:val="»"/>
      <w:lvlJc w:val="left"/>
      <w:pPr>
        <w:ind w:left="720" w:hanging="360"/>
      </w:pPr>
      <w:rPr>
        <w:rFonts w:ascii="Palatino Linotype" w:hAnsi="Palatino Linotype"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92F5658"/>
    <w:multiLevelType w:val="hybridMultilevel"/>
    <w:tmpl w:val="8F32E58E"/>
    <w:lvl w:ilvl="0" w:tplc="110C3964">
      <w:start w:val="1"/>
      <w:numFmt w:val="bullet"/>
      <w:lvlText w:val=""/>
      <w:lvlJc w:val="left"/>
      <w:pPr>
        <w:ind w:left="720" w:hanging="360"/>
      </w:pPr>
      <w:rPr>
        <w:rFonts w:ascii="Symbol" w:hAnsi="Symbol" w:hint="default"/>
      </w:rPr>
    </w:lvl>
    <w:lvl w:ilvl="1" w:tplc="33A82634" w:tentative="1">
      <w:start w:val="1"/>
      <w:numFmt w:val="bullet"/>
      <w:lvlText w:val="o"/>
      <w:lvlJc w:val="left"/>
      <w:pPr>
        <w:ind w:left="1440" w:hanging="360"/>
      </w:pPr>
      <w:rPr>
        <w:rFonts w:ascii="Courier New" w:hAnsi="Courier New" w:hint="default"/>
      </w:rPr>
    </w:lvl>
    <w:lvl w:ilvl="2" w:tplc="F372DE72" w:tentative="1">
      <w:start w:val="1"/>
      <w:numFmt w:val="bullet"/>
      <w:lvlText w:val=""/>
      <w:lvlJc w:val="left"/>
      <w:pPr>
        <w:ind w:left="2160" w:hanging="360"/>
      </w:pPr>
      <w:rPr>
        <w:rFonts w:ascii="Wingdings" w:hAnsi="Wingdings" w:hint="default"/>
      </w:rPr>
    </w:lvl>
    <w:lvl w:ilvl="3" w:tplc="3760A4BA" w:tentative="1">
      <w:start w:val="1"/>
      <w:numFmt w:val="bullet"/>
      <w:lvlText w:val=""/>
      <w:lvlJc w:val="left"/>
      <w:pPr>
        <w:ind w:left="2880" w:hanging="360"/>
      </w:pPr>
      <w:rPr>
        <w:rFonts w:ascii="Symbol" w:hAnsi="Symbol" w:hint="default"/>
      </w:rPr>
    </w:lvl>
    <w:lvl w:ilvl="4" w:tplc="140421E0" w:tentative="1">
      <w:start w:val="1"/>
      <w:numFmt w:val="bullet"/>
      <w:lvlText w:val="o"/>
      <w:lvlJc w:val="left"/>
      <w:pPr>
        <w:ind w:left="3600" w:hanging="360"/>
      </w:pPr>
      <w:rPr>
        <w:rFonts w:ascii="Courier New" w:hAnsi="Courier New" w:hint="default"/>
      </w:rPr>
    </w:lvl>
    <w:lvl w:ilvl="5" w:tplc="D152AC22" w:tentative="1">
      <w:start w:val="1"/>
      <w:numFmt w:val="bullet"/>
      <w:lvlText w:val=""/>
      <w:lvlJc w:val="left"/>
      <w:pPr>
        <w:ind w:left="4320" w:hanging="360"/>
      </w:pPr>
      <w:rPr>
        <w:rFonts w:ascii="Wingdings" w:hAnsi="Wingdings" w:hint="default"/>
      </w:rPr>
    </w:lvl>
    <w:lvl w:ilvl="6" w:tplc="3FBC955E" w:tentative="1">
      <w:start w:val="1"/>
      <w:numFmt w:val="bullet"/>
      <w:lvlText w:val=""/>
      <w:lvlJc w:val="left"/>
      <w:pPr>
        <w:ind w:left="5040" w:hanging="360"/>
      </w:pPr>
      <w:rPr>
        <w:rFonts w:ascii="Symbol" w:hAnsi="Symbol" w:hint="default"/>
      </w:rPr>
    </w:lvl>
    <w:lvl w:ilvl="7" w:tplc="AA68C380" w:tentative="1">
      <w:start w:val="1"/>
      <w:numFmt w:val="bullet"/>
      <w:lvlText w:val="o"/>
      <w:lvlJc w:val="left"/>
      <w:pPr>
        <w:ind w:left="5760" w:hanging="360"/>
      </w:pPr>
      <w:rPr>
        <w:rFonts w:ascii="Courier New" w:hAnsi="Courier New" w:hint="default"/>
      </w:rPr>
    </w:lvl>
    <w:lvl w:ilvl="8" w:tplc="BD449174" w:tentative="1">
      <w:start w:val="1"/>
      <w:numFmt w:val="bullet"/>
      <w:lvlText w:val=""/>
      <w:lvlJc w:val="left"/>
      <w:pPr>
        <w:ind w:left="6480" w:hanging="360"/>
      </w:pPr>
      <w:rPr>
        <w:rFonts w:ascii="Wingdings" w:hAnsi="Wingdings" w:hint="default"/>
      </w:rPr>
    </w:lvl>
  </w:abstractNum>
  <w:abstractNum w:abstractNumId="15">
    <w:nsid w:val="20243929"/>
    <w:multiLevelType w:val="hybridMultilevel"/>
    <w:tmpl w:val="30AA4F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29F00ED1"/>
    <w:multiLevelType w:val="singleLevel"/>
    <w:tmpl w:val="147419EA"/>
    <w:lvl w:ilvl="0">
      <w:numFmt w:val="bullet"/>
      <w:lvlText w:val=""/>
      <w:lvlJc w:val="left"/>
      <w:pPr>
        <w:tabs>
          <w:tab w:val="num" w:pos="720"/>
        </w:tabs>
        <w:ind w:left="720" w:hanging="720"/>
      </w:pPr>
      <w:rPr>
        <w:rFonts w:ascii="WP MathA" w:hAnsi="WP MathA" w:hint="default"/>
      </w:rPr>
    </w:lvl>
  </w:abstractNum>
  <w:abstractNum w:abstractNumId="17">
    <w:nsid w:val="3A6B5D6E"/>
    <w:multiLevelType w:val="hybridMultilevel"/>
    <w:tmpl w:val="0D28F9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ED238F1"/>
    <w:multiLevelType w:val="hybridMultilevel"/>
    <w:tmpl w:val="6E38E328"/>
    <w:lvl w:ilvl="0" w:tplc="9A56643E">
      <w:start w:val="1"/>
      <w:numFmt w:val="bullet"/>
      <w:lvlText w:val=""/>
      <w:lvlJc w:val="left"/>
      <w:pPr>
        <w:tabs>
          <w:tab w:val="num" w:pos="2160"/>
        </w:tabs>
        <w:ind w:left="2160" w:hanging="360"/>
      </w:pPr>
      <w:rPr>
        <w:rFonts w:ascii="Symbol" w:hAnsi="Symbol" w:cs="Symbol" w:hint="default"/>
        <w:sz w:val="20"/>
        <w:szCs w:val="20"/>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abstractNum w:abstractNumId="19">
    <w:nsid w:val="41B44EE0"/>
    <w:multiLevelType w:val="hybridMultilevel"/>
    <w:tmpl w:val="67522632"/>
    <w:lvl w:ilvl="0" w:tplc="2E0E33B4">
      <w:start w:val="1"/>
      <w:numFmt w:val="bullet"/>
      <w:lvlText w:val="»"/>
      <w:lvlJc w:val="left"/>
      <w:pPr>
        <w:ind w:left="720" w:hanging="360"/>
      </w:pPr>
      <w:rPr>
        <w:rFonts w:ascii="Palatino Linotype" w:hAnsi="Palatino Linotype" w:hint="default"/>
        <w:sz w:val="20"/>
        <w:szCs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42503B21"/>
    <w:multiLevelType w:val="singleLevel"/>
    <w:tmpl w:val="586A402A"/>
    <w:lvl w:ilvl="0">
      <w:start w:val="2"/>
      <w:numFmt w:val="bullet"/>
      <w:lvlText w:val=""/>
      <w:lvlJc w:val="left"/>
      <w:pPr>
        <w:tabs>
          <w:tab w:val="num" w:pos="720"/>
        </w:tabs>
        <w:ind w:left="720" w:hanging="720"/>
      </w:pPr>
      <w:rPr>
        <w:rFonts w:ascii="WP MathA" w:hAnsi="WP MathA" w:cs="WP MathA" w:hint="default"/>
      </w:rPr>
    </w:lvl>
  </w:abstractNum>
  <w:abstractNum w:abstractNumId="21">
    <w:nsid w:val="44763312"/>
    <w:multiLevelType w:val="multilevel"/>
    <w:tmpl w:val="6E38E328"/>
    <w:lvl w:ilvl="0">
      <w:start w:val="1"/>
      <w:numFmt w:val="bullet"/>
      <w:lvlText w:val=""/>
      <w:lvlJc w:val="left"/>
      <w:pPr>
        <w:tabs>
          <w:tab w:val="num" w:pos="2160"/>
        </w:tabs>
        <w:ind w:left="2160" w:hanging="360"/>
      </w:pPr>
      <w:rPr>
        <w:rFonts w:ascii="Symbol" w:hAnsi="Symbol" w:cs="Symbol" w:hint="default"/>
        <w:sz w:val="20"/>
        <w:szCs w:val="20"/>
      </w:rPr>
    </w:lvl>
    <w:lvl w:ilvl="1">
      <w:start w:val="1"/>
      <w:numFmt w:val="bullet"/>
      <w:lvlText w:val="o"/>
      <w:lvlJc w:val="left"/>
      <w:pPr>
        <w:tabs>
          <w:tab w:val="num" w:pos="2160"/>
        </w:tabs>
        <w:ind w:left="2160" w:hanging="360"/>
      </w:pPr>
      <w:rPr>
        <w:rFonts w:ascii="Courier New" w:hAnsi="Courier New" w:cs="Courier New" w:hint="default"/>
      </w:rPr>
    </w:lvl>
    <w:lvl w:ilvl="2">
      <w:start w:val="1"/>
      <w:numFmt w:val="bullet"/>
      <w:lvlText w:val=""/>
      <w:lvlJc w:val="left"/>
      <w:pPr>
        <w:tabs>
          <w:tab w:val="num" w:pos="2880"/>
        </w:tabs>
        <w:ind w:left="2880" w:hanging="360"/>
      </w:pPr>
      <w:rPr>
        <w:rFonts w:ascii="Wingdings" w:hAnsi="Wingdings" w:cs="Wingdings" w:hint="default"/>
      </w:rPr>
    </w:lvl>
    <w:lvl w:ilvl="3">
      <w:start w:val="1"/>
      <w:numFmt w:val="bullet"/>
      <w:lvlText w:val=""/>
      <w:lvlJc w:val="left"/>
      <w:pPr>
        <w:tabs>
          <w:tab w:val="num" w:pos="3600"/>
        </w:tabs>
        <w:ind w:left="3600" w:hanging="360"/>
      </w:pPr>
      <w:rPr>
        <w:rFonts w:ascii="Symbol" w:hAnsi="Symbol" w:cs="Symbol" w:hint="default"/>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cs="Wingdings" w:hint="default"/>
      </w:rPr>
    </w:lvl>
    <w:lvl w:ilvl="6">
      <w:start w:val="1"/>
      <w:numFmt w:val="bullet"/>
      <w:lvlText w:val=""/>
      <w:lvlJc w:val="left"/>
      <w:pPr>
        <w:tabs>
          <w:tab w:val="num" w:pos="5760"/>
        </w:tabs>
        <w:ind w:left="5760" w:hanging="360"/>
      </w:pPr>
      <w:rPr>
        <w:rFonts w:ascii="Symbol" w:hAnsi="Symbol" w:cs="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cs="Wingdings" w:hint="default"/>
      </w:rPr>
    </w:lvl>
  </w:abstractNum>
  <w:abstractNum w:abstractNumId="22">
    <w:nsid w:val="54603811"/>
    <w:multiLevelType w:val="hybridMultilevel"/>
    <w:tmpl w:val="2A64BD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57EB0E27"/>
    <w:multiLevelType w:val="hybridMultilevel"/>
    <w:tmpl w:val="2E689720"/>
    <w:lvl w:ilvl="0" w:tplc="197E7EB4">
      <w:start w:val="1"/>
      <w:numFmt w:val="decimal"/>
      <w:lvlText w:val="%1."/>
      <w:lvlJc w:val="left"/>
      <w:pPr>
        <w:tabs>
          <w:tab w:val="num" w:pos="720"/>
        </w:tabs>
        <w:ind w:left="720" w:hanging="7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4">
    <w:nsid w:val="62A80566"/>
    <w:multiLevelType w:val="singleLevel"/>
    <w:tmpl w:val="0409000F"/>
    <w:lvl w:ilvl="0">
      <w:start w:val="1"/>
      <w:numFmt w:val="decimal"/>
      <w:lvlText w:val="%1."/>
      <w:lvlJc w:val="left"/>
      <w:pPr>
        <w:tabs>
          <w:tab w:val="num" w:pos="360"/>
        </w:tabs>
        <w:ind w:left="360" w:hanging="360"/>
      </w:pPr>
    </w:lvl>
  </w:abstractNum>
  <w:abstractNum w:abstractNumId="25">
    <w:nsid w:val="759359B3"/>
    <w:multiLevelType w:val="singleLevel"/>
    <w:tmpl w:val="0409000F"/>
    <w:lvl w:ilvl="0">
      <w:start w:val="1"/>
      <w:numFmt w:val="decimal"/>
      <w:lvlText w:val="%1."/>
      <w:lvlJc w:val="left"/>
      <w:pPr>
        <w:tabs>
          <w:tab w:val="num" w:pos="360"/>
        </w:tabs>
        <w:ind w:left="360" w:hanging="360"/>
      </w:pPr>
    </w:lvl>
  </w:abstractNum>
  <w:abstractNum w:abstractNumId="26">
    <w:nsid w:val="79836994"/>
    <w:multiLevelType w:val="hybridMultilevel"/>
    <w:tmpl w:val="3AA2E32A"/>
    <w:lvl w:ilvl="0" w:tplc="9A56643E">
      <w:start w:val="1"/>
      <w:numFmt w:val="bullet"/>
      <w:lvlText w:val=""/>
      <w:lvlJc w:val="left"/>
      <w:pPr>
        <w:tabs>
          <w:tab w:val="num" w:pos="2160"/>
        </w:tabs>
        <w:ind w:left="2160" w:hanging="360"/>
      </w:pPr>
      <w:rPr>
        <w:rFonts w:ascii="Symbol" w:hAnsi="Symbol" w:cs="Symbol" w:hint="default"/>
        <w:sz w:val="20"/>
        <w:szCs w:val="20"/>
      </w:rPr>
    </w:lvl>
    <w:lvl w:ilvl="1" w:tplc="9A56643E">
      <w:start w:val="1"/>
      <w:numFmt w:val="bullet"/>
      <w:lvlText w:val=""/>
      <w:lvlJc w:val="left"/>
      <w:pPr>
        <w:tabs>
          <w:tab w:val="num" w:pos="2160"/>
        </w:tabs>
        <w:ind w:left="2160" w:hanging="360"/>
      </w:pPr>
      <w:rPr>
        <w:rFonts w:ascii="Symbol" w:hAnsi="Symbol" w:cs="Symbol" w:hint="default"/>
        <w:sz w:val="20"/>
        <w:szCs w:val="20"/>
      </w:rPr>
    </w:lvl>
    <w:lvl w:ilvl="2" w:tplc="04090005">
      <w:start w:val="1"/>
      <w:numFmt w:val="bullet"/>
      <w:lvlText w:val=""/>
      <w:lvlJc w:val="left"/>
      <w:pPr>
        <w:tabs>
          <w:tab w:val="num" w:pos="2880"/>
        </w:tabs>
        <w:ind w:left="2880" w:hanging="360"/>
      </w:pPr>
      <w:rPr>
        <w:rFonts w:ascii="Wingdings" w:hAnsi="Wingdings" w:cs="Wingdings" w:hint="default"/>
      </w:rPr>
    </w:lvl>
    <w:lvl w:ilvl="3" w:tplc="04090001">
      <w:start w:val="1"/>
      <w:numFmt w:val="bullet"/>
      <w:lvlText w:val=""/>
      <w:lvlJc w:val="left"/>
      <w:pPr>
        <w:tabs>
          <w:tab w:val="num" w:pos="3600"/>
        </w:tabs>
        <w:ind w:left="3600" w:hanging="360"/>
      </w:pPr>
      <w:rPr>
        <w:rFonts w:ascii="Symbol" w:hAnsi="Symbol" w:cs="Symbol" w:hint="default"/>
      </w:rPr>
    </w:lvl>
    <w:lvl w:ilvl="4" w:tplc="04090003">
      <w:start w:val="1"/>
      <w:numFmt w:val="bullet"/>
      <w:lvlText w:val="o"/>
      <w:lvlJc w:val="left"/>
      <w:pPr>
        <w:tabs>
          <w:tab w:val="num" w:pos="4320"/>
        </w:tabs>
        <w:ind w:left="4320" w:hanging="360"/>
      </w:pPr>
      <w:rPr>
        <w:rFonts w:ascii="Courier New" w:hAnsi="Courier New" w:cs="Courier New" w:hint="default"/>
      </w:rPr>
    </w:lvl>
    <w:lvl w:ilvl="5" w:tplc="04090005">
      <w:start w:val="1"/>
      <w:numFmt w:val="bullet"/>
      <w:lvlText w:val=""/>
      <w:lvlJc w:val="left"/>
      <w:pPr>
        <w:tabs>
          <w:tab w:val="num" w:pos="5040"/>
        </w:tabs>
        <w:ind w:left="5040" w:hanging="360"/>
      </w:pPr>
      <w:rPr>
        <w:rFonts w:ascii="Wingdings" w:hAnsi="Wingdings" w:cs="Wingdings" w:hint="default"/>
      </w:rPr>
    </w:lvl>
    <w:lvl w:ilvl="6" w:tplc="04090001">
      <w:start w:val="1"/>
      <w:numFmt w:val="bullet"/>
      <w:lvlText w:val=""/>
      <w:lvlJc w:val="left"/>
      <w:pPr>
        <w:tabs>
          <w:tab w:val="num" w:pos="5760"/>
        </w:tabs>
        <w:ind w:left="5760" w:hanging="360"/>
      </w:pPr>
      <w:rPr>
        <w:rFonts w:ascii="Symbol" w:hAnsi="Symbol" w:cs="Symbol" w:hint="default"/>
      </w:rPr>
    </w:lvl>
    <w:lvl w:ilvl="7" w:tplc="04090003">
      <w:start w:val="1"/>
      <w:numFmt w:val="bullet"/>
      <w:lvlText w:val="o"/>
      <w:lvlJc w:val="left"/>
      <w:pPr>
        <w:tabs>
          <w:tab w:val="num" w:pos="6480"/>
        </w:tabs>
        <w:ind w:left="6480" w:hanging="360"/>
      </w:pPr>
      <w:rPr>
        <w:rFonts w:ascii="Courier New" w:hAnsi="Courier New" w:cs="Courier New" w:hint="default"/>
      </w:rPr>
    </w:lvl>
    <w:lvl w:ilvl="8" w:tplc="04090005">
      <w:start w:val="1"/>
      <w:numFmt w:val="bullet"/>
      <w:lvlText w:val=""/>
      <w:lvlJc w:val="left"/>
      <w:pPr>
        <w:tabs>
          <w:tab w:val="num" w:pos="7200"/>
        </w:tabs>
        <w:ind w:left="7200" w:hanging="360"/>
      </w:pPr>
      <w:rPr>
        <w:rFonts w:ascii="Wingdings" w:hAnsi="Wingdings" w:cs="Wingdings" w:hint="default"/>
      </w:rPr>
    </w:lvl>
  </w:abstractNum>
  <w:num w:numId="1">
    <w:abstractNumId w:val="16"/>
  </w:num>
  <w:num w:numId="2">
    <w:abstractNumId w:val="20"/>
  </w:num>
  <w:num w:numId="3">
    <w:abstractNumId w:val="25"/>
  </w:num>
  <w:num w:numId="4">
    <w:abstractNumId w:val="24"/>
  </w:num>
  <w:num w:numId="5">
    <w:abstractNumId w:val="23"/>
  </w:num>
  <w:num w:numId="6">
    <w:abstractNumId w:val="12"/>
  </w:num>
  <w:num w:numId="7">
    <w:abstractNumId w:val="18"/>
  </w:num>
  <w:num w:numId="8">
    <w:abstractNumId w:val="21"/>
  </w:num>
  <w:num w:numId="9">
    <w:abstractNumId w:val="26"/>
  </w:num>
  <w:num w:numId="10">
    <w:abstractNumId w:val="9"/>
  </w:num>
  <w:num w:numId="11">
    <w:abstractNumId w:val="7"/>
  </w:num>
  <w:num w:numId="12">
    <w:abstractNumId w:val="6"/>
  </w:num>
  <w:num w:numId="13">
    <w:abstractNumId w:val="5"/>
  </w:num>
  <w:num w:numId="14">
    <w:abstractNumId w:val="4"/>
  </w:num>
  <w:num w:numId="15">
    <w:abstractNumId w:val="8"/>
  </w:num>
  <w:num w:numId="16">
    <w:abstractNumId w:val="3"/>
  </w:num>
  <w:num w:numId="17">
    <w:abstractNumId w:val="2"/>
  </w:num>
  <w:num w:numId="18">
    <w:abstractNumId w:val="1"/>
  </w:num>
  <w:num w:numId="19">
    <w:abstractNumId w:val="0"/>
  </w:num>
  <w:num w:numId="20">
    <w:abstractNumId w:val="13"/>
  </w:num>
  <w:num w:numId="21">
    <w:abstractNumId w:val="19"/>
  </w:num>
  <w:num w:numId="22">
    <w:abstractNumId w:val="11"/>
  </w:num>
  <w:num w:numId="23">
    <w:abstractNumId w:val="15"/>
  </w:num>
  <w:num w:numId="24">
    <w:abstractNumId w:val="10"/>
  </w:num>
  <w:num w:numId="25">
    <w:abstractNumId w:val="14"/>
  </w:num>
  <w:num w:numId="26">
    <w:abstractNumId w:val="17"/>
  </w:num>
  <w:num w:numId="2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removePersonalInformation/>
  <w:removeDateAndTime/>
  <w:embedSystemFonts/>
  <w:proofState w:spelling="clean" w:grammar="clean"/>
  <w:defaultTabStop w:val="720"/>
  <w:doNotHyphenateCaps/>
  <w:displayHorizontalDrawingGridEvery w:val="0"/>
  <w:displayVerticalDrawingGridEvery w:val="0"/>
  <w:doNotUseMarginsForDrawingGridOrigin/>
  <w:characterSpacingControl w:val="doNotCompress"/>
  <w:hdrShapeDefaults>
    <o:shapedefaults v:ext="edit" spidmax="18433"/>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3FCE"/>
    <w:rsid w:val="000039EC"/>
    <w:rsid w:val="0000699A"/>
    <w:rsid w:val="00007C75"/>
    <w:rsid w:val="00010E29"/>
    <w:rsid w:val="00013490"/>
    <w:rsid w:val="00016459"/>
    <w:rsid w:val="000211ED"/>
    <w:rsid w:val="000275A4"/>
    <w:rsid w:val="00043A80"/>
    <w:rsid w:val="00043C2C"/>
    <w:rsid w:val="000507E9"/>
    <w:rsid w:val="00050AE5"/>
    <w:rsid w:val="00060E51"/>
    <w:rsid w:val="00062570"/>
    <w:rsid w:val="00065D10"/>
    <w:rsid w:val="00070337"/>
    <w:rsid w:val="00071C80"/>
    <w:rsid w:val="0007777D"/>
    <w:rsid w:val="000874F3"/>
    <w:rsid w:val="0008793C"/>
    <w:rsid w:val="00091C34"/>
    <w:rsid w:val="000A1054"/>
    <w:rsid w:val="000A3EE8"/>
    <w:rsid w:val="000A4B70"/>
    <w:rsid w:val="000A641B"/>
    <w:rsid w:val="000A699A"/>
    <w:rsid w:val="000B0BEE"/>
    <w:rsid w:val="000B2E61"/>
    <w:rsid w:val="000C085E"/>
    <w:rsid w:val="000C099D"/>
    <w:rsid w:val="000C0FA4"/>
    <w:rsid w:val="000C1B1C"/>
    <w:rsid w:val="000D0816"/>
    <w:rsid w:val="000D3810"/>
    <w:rsid w:val="000D47A0"/>
    <w:rsid w:val="000D6F01"/>
    <w:rsid w:val="000E1174"/>
    <w:rsid w:val="000E22CD"/>
    <w:rsid w:val="000E5CEA"/>
    <w:rsid w:val="000E64A3"/>
    <w:rsid w:val="000F0E58"/>
    <w:rsid w:val="000F2738"/>
    <w:rsid w:val="000F4A9A"/>
    <w:rsid w:val="00101BE0"/>
    <w:rsid w:val="00103F7C"/>
    <w:rsid w:val="00104659"/>
    <w:rsid w:val="00104962"/>
    <w:rsid w:val="001072A4"/>
    <w:rsid w:val="00114EA8"/>
    <w:rsid w:val="00117101"/>
    <w:rsid w:val="00126F5F"/>
    <w:rsid w:val="001328C1"/>
    <w:rsid w:val="001329A1"/>
    <w:rsid w:val="0015089F"/>
    <w:rsid w:val="001738DF"/>
    <w:rsid w:val="001756C9"/>
    <w:rsid w:val="00175F89"/>
    <w:rsid w:val="0018265F"/>
    <w:rsid w:val="0018377C"/>
    <w:rsid w:val="00184213"/>
    <w:rsid w:val="00190F67"/>
    <w:rsid w:val="001936DF"/>
    <w:rsid w:val="001A7AB8"/>
    <w:rsid w:val="001B0F23"/>
    <w:rsid w:val="001C0578"/>
    <w:rsid w:val="001C4171"/>
    <w:rsid w:val="001C6141"/>
    <w:rsid w:val="001D48C2"/>
    <w:rsid w:val="001D516D"/>
    <w:rsid w:val="001E2E04"/>
    <w:rsid w:val="001F271B"/>
    <w:rsid w:val="001F3CA6"/>
    <w:rsid w:val="00204622"/>
    <w:rsid w:val="00205585"/>
    <w:rsid w:val="002120F5"/>
    <w:rsid w:val="0023186F"/>
    <w:rsid w:val="00232063"/>
    <w:rsid w:val="002347E5"/>
    <w:rsid w:val="00234D2E"/>
    <w:rsid w:val="0026382A"/>
    <w:rsid w:val="00265388"/>
    <w:rsid w:val="002659A8"/>
    <w:rsid w:val="002676E1"/>
    <w:rsid w:val="00267DD1"/>
    <w:rsid w:val="002703EA"/>
    <w:rsid w:val="00272579"/>
    <w:rsid w:val="00274875"/>
    <w:rsid w:val="00281992"/>
    <w:rsid w:val="00285BEA"/>
    <w:rsid w:val="002870A8"/>
    <w:rsid w:val="002A3BDE"/>
    <w:rsid w:val="002B6C4E"/>
    <w:rsid w:val="002C3606"/>
    <w:rsid w:val="002E101F"/>
    <w:rsid w:val="00303E20"/>
    <w:rsid w:val="0031339A"/>
    <w:rsid w:val="00313EF8"/>
    <w:rsid w:val="00327A65"/>
    <w:rsid w:val="00357DE0"/>
    <w:rsid w:val="003616A7"/>
    <w:rsid w:val="00361DCB"/>
    <w:rsid w:val="00366550"/>
    <w:rsid w:val="003739D8"/>
    <w:rsid w:val="003A0974"/>
    <w:rsid w:val="003B3E8B"/>
    <w:rsid w:val="003D344E"/>
    <w:rsid w:val="003D6461"/>
    <w:rsid w:val="003E27A8"/>
    <w:rsid w:val="003F15EC"/>
    <w:rsid w:val="003F43CD"/>
    <w:rsid w:val="00400B44"/>
    <w:rsid w:val="00410DF9"/>
    <w:rsid w:val="004168B5"/>
    <w:rsid w:val="00417CC5"/>
    <w:rsid w:val="004215E3"/>
    <w:rsid w:val="0044187D"/>
    <w:rsid w:val="00465C6B"/>
    <w:rsid w:val="0046678E"/>
    <w:rsid w:val="0048004D"/>
    <w:rsid w:val="00482C55"/>
    <w:rsid w:val="0048308E"/>
    <w:rsid w:val="004852D0"/>
    <w:rsid w:val="004860DB"/>
    <w:rsid w:val="00487418"/>
    <w:rsid w:val="0049490B"/>
    <w:rsid w:val="0049777A"/>
    <w:rsid w:val="004A4FCF"/>
    <w:rsid w:val="004A6385"/>
    <w:rsid w:val="004B6350"/>
    <w:rsid w:val="004C0F9D"/>
    <w:rsid w:val="004C5896"/>
    <w:rsid w:val="004D0F00"/>
    <w:rsid w:val="004D270D"/>
    <w:rsid w:val="004E5FAD"/>
    <w:rsid w:val="004F3887"/>
    <w:rsid w:val="004F7C4C"/>
    <w:rsid w:val="00501657"/>
    <w:rsid w:val="00502E5F"/>
    <w:rsid w:val="005100F8"/>
    <w:rsid w:val="00510CE4"/>
    <w:rsid w:val="0051291C"/>
    <w:rsid w:val="0051486E"/>
    <w:rsid w:val="00524C42"/>
    <w:rsid w:val="00526E86"/>
    <w:rsid w:val="0053621F"/>
    <w:rsid w:val="005411C4"/>
    <w:rsid w:val="005538C6"/>
    <w:rsid w:val="005576A9"/>
    <w:rsid w:val="0055783C"/>
    <w:rsid w:val="005722F2"/>
    <w:rsid w:val="005772C4"/>
    <w:rsid w:val="00583023"/>
    <w:rsid w:val="00597F20"/>
    <w:rsid w:val="005B547D"/>
    <w:rsid w:val="005C081A"/>
    <w:rsid w:val="005C63CD"/>
    <w:rsid w:val="005D6036"/>
    <w:rsid w:val="005E01F2"/>
    <w:rsid w:val="005F4922"/>
    <w:rsid w:val="00622463"/>
    <w:rsid w:val="0064679A"/>
    <w:rsid w:val="00650180"/>
    <w:rsid w:val="00650D56"/>
    <w:rsid w:val="00653F4C"/>
    <w:rsid w:val="00655EB1"/>
    <w:rsid w:val="00657C48"/>
    <w:rsid w:val="00660F8B"/>
    <w:rsid w:val="00666489"/>
    <w:rsid w:val="00671591"/>
    <w:rsid w:val="00672DD5"/>
    <w:rsid w:val="00673CD8"/>
    <w:rsid w:val="00683075"/>
    <w:rsid w:val="00695881"/>
    <w:rsid w:val="006A4C5B"/>
    <w:rsid w:val="006B7FB3"/>
    <w:rsid w:val="006C01E8"/>
    <w:rsid w:val="006C075E"/>
    <w:rsid w:val="006C3207"/>
    <w:rsid w:val="006C4D17"/>
    <w:rsid w:val="006C514E"/>
    <w:rsid w:val="006C596E"/>
    <w:rsid w:val="006D300A"/>
    <w:rsid w:val="006D32DA"/>
    <w:rsid w:val="006D348A"/>
    <w:rsid w:val="006D6672"/>
    <w:rsid w:val="006F5FB8"/>
    <w:rsid w:val="007013C1"/>
    <w:rsid w:val="00717CE4"/>
    <w:rsid w:val="007226FA"/>
    <w:rsid w:val="00723A4D"/>
    <w:rsid w:val="0073012C"/>
    <w:rsid w:val="007407DB"/>
    <w:rsid w:val="0074255D"/>
    <w:rsid w:val="0074292F"/>
    <w:rsid w:val="00747F05"/>
    <w:rsid w:val="00750899"/>
    <w:rsid w:val="007511AD"/>
    <w:rsid w:val="00763E9D"/>
    <w:rsid w:val="00764572"/>
    <w:rsid w:val="00776390"/>
    <w:rsid w:val="0078285B"/>
    <w:rsid w:val="00782BD8"/>
    <w:rsid w:val="0078313F"/>
    <w:rsid w:val="0078331D"/>
    <w:rsid w:val="00784D16"/>
    <w:rsid w:val="00794292"/>
    <w:rsid w:val="00796CB5"/>
    <w:rsid w:val="007A0239"/>
    <w:rsid w:val="007C2F5C"/>
    <w:rsid w:val="007D1288"/>
    <w:rsid w:val="007F2231"/>
    <w:rsid w:val="00805DC4"/>
    <w:rsid w:val="008277E4"/>
    <w:rsid w:val="0083462B"/>
    <w:rsid w:val="008358CC"/>
    <w:rsid w:val="00842352"/>
    <w:rsid w:val="0085709E"/>
    <w:rsid w:val="00881EDA"/>
    <w:rsid w:val="00892113"/>
    <w:rsid w:val="00895CDB"/>
    <w:rsid w:val="0089662E"/>
    <w:rsid w:val="008A3059"/>
    <w:rsid w:val="008A4E4D"/>
    <w:rsid w:val="008A59F8"/>
    <w:rsid w:val="008A693F"/>
    <w:rsid w:val="008A70AD"/>
    <w:rsid w:val="008B2034"/>
    <w:rsid w:val="008B25DB"/>
    <w:rsid w:val="008B5292"/>
    <w:rsid w:val="008C44E2"/>
    <w:rsid w:val="008C5D16"/>
    <w:rsid w:val="008D07C3"/>
    <w:rsid w:val="008D2353"/>
    <w:rsid w:val="008D3151"/>
    <w:rsid w:val="008D4383"/>
    <w:rsid w:val="008E05CA"/>
    <w:rsid w:val="008E3600"/>
    <w:rsid w:val="008F0141"/>
    <w:rsid w:val="008F148B"/>
    <w:rsid w:val="008F57F6"/>
    <w:rsid w:val="009174DB"/>
    <w:rsid w:val="009224B6"/>
    <w:rsid w:val="009259F4"/>
    <w:rsid w:val="009313A5"/>
    <w:rsid w:val="00933752"/>
    <w:rsid w:val="009363F8"/>
    <w:rsid w:val="0094285C"/>
    <w:rsid w:val="00951251"/>
    <w:rsid w:val="009575B5"/>
    <w:rsid w:val="00961499"/>
    <w:rsid w:val="009759D9"/>
    <w:rsid w:val="00976EF3"/>
    <w:rsid w:val="00977571"/>
    <w:rsid w:val="00995BDF"/>
    <w:rsid w:val="009A2687"/>
    <w:rsid w:val="009A5257"/>
    <w:rsid w:val="009A64AA"/>
    <w:rsid w:val="009B679B"/>
    <w:rsid w:val="009C033F"/>
    <w:rsid w:val="009D087B"/>
    <w:rsid w:val="009D48FE"/>
    <w:rsid w:val="009D5190"/>
    <w:rsid w:val="009D540A"/>
    <w:rsid w:val="009E0804"/>
    <w:rsid w:val="009E64F6"/>
    <w:rsid w:val="009F4A8A"/>
    <w:rsid w:val="009F7687"/>
    <w:rsid w:val="009F7E62"/>
    <w:rsid w:val="00A0053E"/>
    <w:rsid w:val="00A02FDB"/>
    <w:rsid w:val="00A054DB"/>
    <w:rsid w:val="00A1091B"/>
    <w:rsid w:val="00A12629"/>
    <w:rsid w:val="00A15B49"/>
    <w:rsid w:val="00A231D6"/>
    <w:rsid w:val="00A243FA"/>
    <w:rsid w:val="00A32F38"/>
    <w:rsid w:val="00A42ACD"/>
    <w:rsid w:val="00A536EF"/>
    <w:rsid w:val="00A561F8"/>
    <w:rsid w:val="00A732A0"/>
    <w:rsid w:val="00A81B4B"/>
    <w:rsid w:val="00A8694C"/>
    <w:rsid w:val="00AB6AB7"/>
    <w:rsid w:val="00AC3620"/>
    <w:rsid w:val="00AC3DD7"/>
    <w:rsid w:val="00AC3FC4"/>
    <w:rsid w:val="00AC61A5"/>
    <w:rsid w:val="00AD3FCE"/>
    <w:rsid w:val="00AD6DD9"/>
    <w:rsid w:val="00AF338E"/>
    <w:rsid w:val="00B00999"/>
    <w:rsid w:val="00B05F10"/>
    <w:rsid w:val="00B16F53"/>
    <w:rsid w:val="00B171B4"/>
    <w:rsid w:val="00B22251"/>
    <w:rsid w:val="00B31C65"/>
    <w:rsid w:val="00B354BC"/>
    <w:rsid w:val="00B35AAB"/>
    <w:rsid w:val="00B43A38"/>
    <w:rsid w:val="00B440A2"/>
    <w:rsid w:val="00B44298"/>
    <w:rsid w:val="00B574C6"/>
    <w:rsid w:val="00B65701"/>
    <w:rsid w:val="00B7034B"/>
    <w:rsid w:val="00B71FB2"/>
    <w:rsid w:val="00B74BEB"/>
    <w:rsid w:val="00B809EF"/>
    <w:rsid w:val="00B80F69"/>
    <w:rsid w:val="00B84D92"/>
    <w:rsid w:val="00B86E18"/>
    <w:rsid w:val="00B9244F"/>
    <w:rsid w:val="00B92785"/>
    <w:rsid w:val="00BA15D7"/>
    <w:rsid w:val="00BA52CC"/>
    <w:rsid w:val="00BB11E8"/>
    <w:rsid w:val="00BB4C3B"/>
    <w:rsid w:val="00BB5E0A"/>
    <w:rsid w:val="00BC0B34"/>
    <w:rsid w:val="00BC2999"/>
    <w:rsid w:val="00BC2BD0"/>
    <w:rsid w:val="00BC437C"/>
    <w:rsid w:val="00BC46B1"/>
    <w:rsid w:val="00BC510B"/>
    <w:rsid w:val="00BC5257"/>
    <w:rsid w:val="00BD6874"/>
    <w:rsid w:val="00BE3625"/>
    <w:rsid w:val="00BE5BB7"/>
    <w:rsid w:val="00BE7BAB"/>
    <w:rsid w:val="00BF7491"/>
    <w:rsid w:val="00C03659"/>
    <w:rsid w:val="00C04DE1"/>
    <w:rsid w:val="00C13488"/>
    <w:rsid w:val="00C13624"/>
    <w:rsid w:val="00C16588"/>
    <w:rsid w:val="00C237A6"/>
    <w:rsid w:val="00C2777D"/>
    <w:rsid w:val="00C27B1E"/>
    <w:rsid w:val="00C3269D"/>
    <w:rsid w:val="00C40AA0"/>
    <w:rsid w:val="00C50FCA"/>
    <w:rsid w:val="00C56235"/>
    <w:rsid w:val="00C60CD2"/>
    <w:rsid w:val="00C61CB2"/>
    <w:rsid w:val="00C71112"/>
    <w:rsid w:val="00CA54D3"/>
    <w:rsid w:val="00CC2E46"/>
    <w:rsid w:val="00CD1508"/>
    <w:rsid w:val="00CD2439"/>
    <w:rsid w:val="00CD3954"/>
    <w:rsid w:val="00CD6B05"/>
    <w:rsid w:val="00D04B2E"/>
    <w:rsid w:val="00D137D2"/>
    <w:rsid w:val="00D15BE2"/>
    <w:rsid w:val="00D16258"/>
    <w:rsid w:val="00D20043"/>
    <w:rsid w:val="00D20054"/>
    <w:rsid w:val="00D20CF0"/>
    <w:rsid w:val="00D22B4B"/>
    <w:rsid w:val="00D2466C"/>
    <w:rsid w:val="00D33693"/>
    <w:rsid w:val="00D347AB"/>
    <w:rsid w:val="00D355AE"/>
    <w:rsid w:val="00D464D8"/>
    <w:rsid w:val="00D508DA"/>
    <w:rsid w:val="00D61E66"/>
    <w:rsid w:val="00D67FD6"/>
    <w:rsid w:val="00D75DFA"/>
    <w:rsid w:val="00D803E0"/>
    <w:rsid w:val="00D85C28"/>
    <w:rsid w:val="00D930E7"/>
    <w:rsid w:val="00D94F99"/>
    <w:rsid w:val="00D95C1A"/>
    <w:rsid w:val="00DA2170"/>
    <w:rsid w:val="00DA2A7E"/>
    <w:rsid w:val="00DB1C25"/>
    <w:rsid w:val="00DB26F0"/>
    <w:rsid w:val="00DB64F7"/>
    <w:rsid w:val="00DC0677"/>
    <w:rsid w:val="00DC5AFA"/>
    <w:rsid w:val="00DD1451"/>
    <w:rsid w:val="00DF0CF8"/>
    <w:rsid w:val="00DF104E"/>
    <w:rsid w:val="00DF4743"/>
    <w:rsid w:val="00DF51A9"/>
    <w:rsid w:val="00E00312"/>
    <w:rsid w:val="00E00BA3"/>
    <w:rsid w:val="00E16AA2"/>
    <w:rsid w:val="00E35326"/>
    <w:rsid w:val="00E457B9"/>
    <w:rsid w:val="00E61A7E"/>
    <w:rsid w:val="00E733C4"/>
    <w:rsid w:val="00E73D09"/>
    <w:rsid w:val="00E76218"/>
    <w:rsid w:val="00E8389B"/>
    <w:rsid w:val="00E9353E"/>
    <w:rsid w:val="00EA22CA"/>
    <w:rsid w:val="00EA4EA4"/>
    <w:rsid w:val="00EB4A47"/>
    <w:rsid w:val="00EB4E5D"/>
    <w:rsid w:val="00ED2A18"/>
    <w:rsid w:val="00EE0F26"/>
    <w:rsid w:val="00EE263D"/>
    <w:rsid w:val="00EF24A8"/>
    <w:rsid w:val="00EF62E1"/>
    <w:rsid w:val="00EF6D55"/>
    <w:rsid w:val="00F01707"/>
    <w:rsid w:val="00F11ED7"/>
    <w:rsid w:val="00F171A6"/>
    <w:rsid w:val="00F216A1"/>
    <w:rsid w:val="00F216AA"/>
    <w:rsid w:val="00F23F22"/>
    <w:rsid w:val="00F541FA"/>
    <w:rsid w:val="00F73D6D"/>
    <w:rsid w:val="00F864E8"/>
    <w:rsid w:val="00F944D1"/>
    <w:rsid w:val="00FA2BCD"/>
    <w:rsid w:val="00FB56F1"/>
    <w:rsid w:val="00FC59E4"/>
    <w:rsid w:val="00FD22C5"/>
    <w:rsid w:val="00FD30D2"/>
    <w:rsid w:val="00FD6D83"/>
    <w:rsid w:val="00FE48C6"/>
    <w:rsid w:val="00FE4AEE"/>
    <w:rsid w:val="00FE65DD"/>
    <w:rsid w:val="00FF3477"/>
    <w:rsid w:val="00FF6505"/>
    <w:rsid w:val="00FF7C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3C7E3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qFormat="1"/>
    <w:lsdException w:name="List Bullet" w:uiPriority="4"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D2"/>
    <w:pPr>
      <w:ind w:firstLine="720"/>
      <w:jc w:val="both"/>
    </w:pPr>
    <w:rPr>
      <w:sz w:val="24"/>
      <w:szCs w:val="24"/>
    </w:rPr>
  </w:style>
  <w:style w:type="paragraph" w:styleId="Heading1">
    <w:name w:val="heading 1"/>
    <w:basedOn w:val="Normal"/>
    <w:next w:val="Normal"/>
    <w:link w:val="Heading1Char"/>
    <w:uiPriority w:val="99"/>
    <w:qFormat/>
    <w:rsid w:val="00A561F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0"/>
    </w:pPr>
    <w:rPr>
      <w:b/>
      <w:bCs/>
      <w:sz w:val="28"/>
      <w:szCs w:val="28"/>
    </w:rPr>
  </w:style>
  <w:style w:type="paragraph" w:styleId="Heading2">
    <w:name w:val="heading 2"/>
    <w:basedOn w:val="Normal"/>
    <w:next w:val="Normal"/>
    <w:link w:val="Heading2Char"/>
    <w:uiPriority w:val="99"/>
    <w:qFormat/>
    <w:rsid w:val="00A561F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1"/>
    </w:pPr>
    <w:rPr>
      <w:b/>
      <w:bCs/>
    </w:rPr>
  </w:style>
  <w:style w:type="paragraph" w:styleId="Heading3">
    <w:name w:val="heading 3"/>
    <w:basedOn w:val="Normal"/>
    <w:next w:val="Normal"/>
    <w:link w:val="Heading3Char"/>
    <w:uiPriority w:val="99"/>
    <w:qFormat/>
    <w:rsid w:val="00A561F8"/>
    <w:pPr>
      <w:keepNext/>
      <w:ind w:firstLine="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F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E2BF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E2BFE"/>
    <w:rPr>
      <w:rFonts w:ascii="Cambria" w:eastAsia="Times New Roman" w:hAnsi="Cambria" w:cs="Times New Roman"/>
      <w:b/>
      <w:bCs/>
      <w:sz w:val="26"/>
      <w:szCs w:val="26"/>
    </w:rPr>
  </w:style>
  <w:style w:type="paragraph" w:styleId="Title">
    <w:name w:val="Title"/>
    <w:basedOn w:val="Normal"/>
    <w:link w:val="TitleChar"/>
    <w:uiPriority w:val="99"/>
    <w:qFormat/>
    <w:rsid w:val="008B25DB"/>
    <w:pPr>
      <w:spacing w:after="240"/>
      <w:jc w:val="center"/>
      <w:outlineLvl w:val="0"/>
    </w:pPr>
    <w:rPr>
      <w:b/>
      <w:bCs/>
      <w:kern w:val="28"/>
      <w:sz w:val="28"/>
      <w:szCs w:val="28"/>
    </w:rPr>
  </w:style>
  <w:style w:type="character" w:customStyle="1" w:styleId="TitleChar">
    <w:name w:val="Title Char"/>
    <w:basedOn w:val="DefaultParagraphFont"/>
    <w:link w:val="Title"/>
    <w:uiPriority w:val="10"/>
    <w:rsid w:val="00BE2BFE"/>
    <w:rPr>
      <w:rFonts w:ascii="Cambria" w:eastAsia="Times New Roman" w:hAnsi="Cambria" w:cs="Times New Roman"/>
      <w:b/>
      <w:bCs/>
      <w:kern w:val="28"/>
      <w:sz w:val="32"/>
      <w:szCs w:val="32"/>
    </w:rPr>
  </w:style>
  <w:style w:type="paragraph" w:customStyle="1" w:styleId="authors">
    <w:name w:val="authors"/>
    <w:basedOn w:val="Heading3"/>
    <w:uiPriority w:val="99"/>
    <w:rsid w:val="008B25DB"/>
    <w:pPr>
      <w:widowControl w:val="0"/>
      <w:spacing w:after="480"/>
      <w:jc w:val="center"/>
    </w:pPr>
    <w:rPr>
      <w:i/>
      <w:iCs/>
    </w:rPr>
  </w:style>
  <w:style w:type="paragraph" w:customStyle="1" w:styleId="tabletitle">
    <w:name w:val="table title"/>
    <w:basedOn w:val="Normal"/>
    <w:uiPriority w:val="99"/>
    <w:rsid w:val="008B25DB"/>
    <w:pPr>
      <w:keepLines/>
      <w:jc w:val="center"/>
    </w:pPr>
    <w:rPr>
      <w:b/>
      <w:bCs/>
    </w:rPr>
  </w:style>
  <w:style w:type="paragraph" w:customStyle="1" w:styleId="abstractline">
    <w:name w:val="abstract line"/>
    <w:basedOn w:val="Title"/>
    <w:uiPriority w:val="99"/>
    <w:rsid w:val="008B25DB"/>
    <w:pPr>
      <w:ind w:firstLine="0"/>
      <w:jc w:val="left"/>
    </w:pPr>
    <w:rPr>
      <w:caps/>
      <w:sz w:val="24"/>
      <w:szCs w:val="24"/>
    </w:rPr>
  </w:style>
  <w:style w:type="paragraph" w:customStyle="1" w:styleId="references">
    <w:name w:val="references"/>
    <w:basedOn w:val="Normal"/>
    <w:uiPriority w:val="99"/>
    <w:rsid w:val="008B25DB"/>
    <w:pPr>
      <w:ind w:left="360" w:hanging="360"/>
    </w:pPr>
  </w:style>
  <w:style w:type="paragraph" w:customStyle="1" w:styleId="columntitle">
    <w:name w:val="column title"/>
    <w:basedOn w:val="tabletext"/>
    <w:uiPriority w:val="99"/>
    <w:rsid w:val="00A561F8"/>
    <w:pPr>
      <w:jc w:val="center"/>
    </w:pPr>
    <w:rPr>
      <w:b/>
      <w:bCs/>
    </w:rPr>
  </w:style>
  <w:style w:type="paragraph" w:customStyle="1" w:styleId="tabletext">
    <w:name w:val="table text"/>
    <w:basedOn w:val="tabletitle"/>
    <w:uiPriority w:val="99"/>
    <w:rsid w:val="00A561F8"/>
    <w:pPr>
      <w:jc w:val="left"/>
    </w:pPr>
    <w:rPr>
      <w:b w:val="0"/>
      <w:bCs w:val="0"/>
      <w:sz w:val="20"/>
      <w:szCs w:val="20"/>
    </w:rPr>
  </w:style>
  <w:style w:type="paragraph" w:customStyle="1" w:styleId="tablenotes">
    <w:name w:val="table notes"/>
    <w:basedOn w:val="tabletext"/>
    <w:uiPriority w:val="99"/>
    <w:rsid w:val="008B25DB"/>
    <w:pPr>
      <w:spacing w:after="240"/>
      <w:jc w:val="center"/>
    </w:pPr>
  </w:style>
  <w:style w:type="paragraph" w:customStyle="1" w:styleId="FigureTitle">
    <w:name w:val="Figure Title"/>
    <w:basedOn w:val="tabletitle"/>
    <w:uiPriority w:val="99"/>
    <w:rsid w:val="00A561F8"/>
  </w:style>
  <w:style w:type="paragraph" w:customStyle="1" w:styleId="figurenotes">
    <w:name w:val="figure notes"/>
    <w:basedOn w:val="tablenotes"/>
    <w:uiPriority w:val="99"/>
    <w:rsid w:val="008B25DB"/>
  </w:style>
  <w:style w:type="paragraph" w:styleId="Caption">
    <w:name w:val="caption"/>
    <w:basedOn w:val="Normal"/>
    <w:next w:val="Normal"/>
    <w:uiPriority w:val="99"/>
    <w:qFormat/>
    <w:rsid w:val="00C237A6"/>
    <w:pPr>
      <w:spacing w:before="120" w:after="120"/>
    </w:pPr>
    <w:rPr>
      <w:b/>
      <w:bCs/>
      <w:sz w:val="20"/>
      <w:szCs w:val="20"/>
    </w:rPr>
  </w:style>
  <w:style w:type="character" w:styleId="CommentReference">
    <w:name w:val="annotation reference"/>
    <w:basedOn w:val="DefaultParagraphFont"/>
    <w:uiPriority w:val="99"/>
    <w:semiHidden/>
    <w:rsid w:val="00D67FD6"/>
    <w:rPr>
      <w:sz w:val="16"/>
      <w:szCs w:val="16"/>
    </w:rPr>
  </w:style>
  <w:style w:type="paragraph" w:styleId="CommentText">
    <w:name w:val="annotation text"/>
    <w:basedOn w:val="Normal"/>
    <w:link w:val="CommentTextChar"/>
    <w:uiPriority w:val="99"/>
    <w:semiHidden/>
    <w:rsid w:val="00D67FD6"/>
    <w:rPr>
      <w:sz w:val="20"/>
      <w:szCs w:val="20"/>
    </w:rPr>
  </w:style>
  <w:style w:type="character" w:customStyle="1" w:styleId="CommentTextChar">
    <w:name w:val="Comment Text Char"/>
    <w:basedOn w:val="DefaultParagraphFont"/>
    <w:link w:val="CommentText"/>
    <w:uiPriority w:val="99"/>
    <w:semiHidden/>
    <w:rsid w:val="00BE2BFE"/>
    <w:rPr>
      <w:sz w:val="20"/>
      <w:szCs w:val="20"/>
    </w:rPr>
  </w:style>
  <w:style w:type="paragraph" w:styleId="CommentSubject">
    <w:name w:val="annotation subject"/>
    <w:basedOn w:val="CommentText"/>
    <w:next w:val="CommentText"/>
    <w:link w:val="CommentSubjectChar"/>
    <w:uiPriority w:val="99"/>
    <w:semiHidden/>
    <w:rsid w:val="00D67FD6"/>
    <w:rPr>
      <w:b/>
      <w:bCs/>
    </w:rPr>
  </w:style>
  <w:style w:type="character" w:customStyle="1" w:styleId="CommentSubjectChar">
    <w:name w:val="Comment Subject Char"/>
    <w:basedOn w:val="CommentTextChar"/>
    <w:link w:val="CommentSubject"/>
    <w:uiPriority w:val="99"/>
    <w:semiHidden/>
    <w:rsid w:val="00BE2BFE"/>
    <w:rPr>
      <w:b/>
      <w:bCs/>
      <w:sz w:val="20"/>
      <w:szCs w:val="20"/>
    </w:rPr>
  </w:style>
  <w:style w:type="paragraph" w:styleId="BalloonText">
    <w:name w:val="Balloon Text"/>
    <w:basedOn w:val="Normal"/>
    <w:link w:val="BalloonTextChar"/>
    <w:uiPriority w:val="99"/>
    <w:semiHidden/>
    <w:rsid w:val="00D67FD6"/>
    <w:rPr>
      <w:rFonts w:ascii="Tahoma" w:hAnsi="Tahoma" w:cs="Tahoma"/>
      <w:sz w:val="16"/>
      <w:szCs w:val="16"/>
    </w:rPr>
  </w:style>
  <w:style w:type="character" w:customStyle="1" w:styleId="BalloonTextChar">
    <w:name w:val="Balloon Text Char"/>
    <w:basedOn w:val="DefaultParagraphFont"/>
    <w:link w:val="BalloonText"/>
    <w:uiPriority w:val="99"/>
    <w:semiHidden/>
    <w:rsid w:val="00BE2BFE"/>
    <w:rPr>
      <w:sz w:val="0"/>
      <w:szCs w:val="0"/>
    </w:rPr>
  </w:style>
  <w:style w:type="paragraph" w:styleId="FootnoteText">
    <w:name w:val="footnote text"/>
    <w:basedOn w:val="Normal"/>
    <w:semiHidden/>
    <w:rsid w:val="0051291C"/>
    <w:rPr>
      <w:sz w:val="20"/>
      <w:szCs w:val="20"/>
    </w:rPr>
  </w:style>
  <w:style w:type="character" w:styleId="FootnoteReference">
    <w:name w:val="footnote reference"/>
    <w:basedOn w:val="DefaultParagraphFont"/>
    <w:qFormat/>
    <w:rsid w:val="0051291C"/>
    <w:rPr>
      <w:vertAlign w:val="superscript"/>
    </w:rPr>
  </w:style>
  <w:style w:type="character" w:styleId="Hyperlink">
    <w:name w:val="Hyperlink"/>
    <w:basedOn w:val="DefaultParagraphFont"/>
    <w:rsid w:val="001C6141"/>
    <w:rPr>
      <w:color w:val="0000FF"/>
      <w:u w:val="single"/>
    </w:rPr>
  </w:style>
  <w:style w:type="paragraph" w:styleId="Header">
    <w:name w:val="header"/>
    <w:basedOn w:val="Normal"/>
    <w:link w:val="HeaderChar"/>
    <w:uiPriority w:val="99"/>
    <w:unhideWhenUsed/>
    <w:rsid w:val="00B809EF"/>
    <w:pPr>
      <w:tabs>
        <w:tab w:val="center" w:pos="4680"/>
        <w:tab w:val="right" w:pos="9360"/>
      </w:tabs>
    </w:pPr>
  </w:style>
  <w:style w:type="character" w:customStyle="1" w:styleId="HeaderChar">
    <w:name w:val="Header Char"/>
    <w:basedOn w:val="DefaultParagraphFont"/>
    <w:link w:val="Header"/>
    <w:uiPriority w:val="99"/>
    <w:rsid w:val="00B809EF"/>
    <w:rPr>
      <w:sz w:val="24"/>
      <w:szCs w:val="24"/>
    </w:rPr>
  </w:style>
  <w:style w:type="paragraph" w:styleId="Footer">
    <w:name w:val="footer"/>
    <w:basedOn w:val="Normal"/>
    <w:link w:val="FooterChar"/>
    <w:uiPriority w:val="99"/>
    <w:unhideWhenUsed/>
    <w:rsid w:val="00B809EF"/>
    <w:pPr>
      <w:tabs>
        <w:tab w:val="center" w:pos="4680"/>
        <w:tab w:val="right" w:pos="9360"/>
      </w:tabs>
    </w:pPr>
  </w:style>
  <w:style w:type="character" w:customStyle="1" w:styleId="FooterChar">
    <w:name w:val="Footer Char"/>
    <w:basedOn w:val="DefaultParagraphFont"/>
    <w:link w:val="Footer"/>
    <w:uiPriority w:val="99"/>
    <w:rsid w:val="00B809EF"/>
    <w:rPr>
      <w:sz w:val="24"/>
      <w:szCs w:val="24"/>
    </w:rPr>
  </w:style>
  <w:style w:type="character" w:styleId="FollowedHyperlink">
    <w:name w:val="FollowedHyperlink"/>
    <w:basedOn w:val="DefaultParagraphFont"/>
    <w:uiPriority w:val="99"/>
    <w:semiHidden/>
    <w:unhideWhenUsed/>
    <w:rsid w:val="00BB4C3B"/>
    <w:rPr>
      <w:color w:val="800080" w:themeColor="followedHyperlink"/>
      <w:u w:val="single"/>
    </w:rPr>
  </w:style>
  <w:style w:type="paragraph" w:styleId="ListParagraph">
    <w:name w:val="List Paragraph"/>
    <w:basedOn w:val="Normal"/>
    <w:link w:val="ListParagraphChar"/>
    <w:uiPriority w:val="34"/>
    <w:qFormat/>
    <w:rsid w:val="005F4922"/>
    <w:pPr>
      <w:ind w:left="720" w:firstLine="0"/>
      <w:contextualSpacing/>
      <w:jc w:val="left"/>
    </w:pPr>
    <w:rPr>
      <w:rFonts w:ascii="Palatino Linotype" w:hAnsi="Palatino Linotype"/>
      <w:sz w:val="20"/>
    </w:rPr>
  </w:style>
  <w:style w:type="character" w:customStyle="1" w:styleId="ListParagraphChar">
    <w:name w:val="List Paragraph Char"/>
    <w:basedOn w:val="DefaultParagraphFont"/>
    <w:link w:val="ListParagraph"/>
    <w:uiPriority w:val="34"/>
    <w:rsid w:val="005F4922"/>
    <w:rPr>
      <w:rFonts w:ascii="Palatino Linotype" w:hAnsi="Palatino Linotype"/>
      <w:szCs w:val="24"/>
    </w:rPr>
  </w:style>
  <w:style w:type="paragraph" w:customStyle="1" w:styleId="Default">
    <w:name w:val="Default"/>
    <w:rsid w:val="000C0FA4"/>
    <w:pPr>
      <w:autoSpaceDE w:val="0"/>
      <w:autoSpaceDN w:val="0"/>
      <w:adjustRightInd w:val="0"/>
    </w:pPr>
    <w:rPr>
      <w:color w:val="000000"/>
      <w:sz w:val="24"/>
      <w:szCs w:val="24"/>
    </w:rPr>
  </w:style>
  <w:style w:type="paragraph" w:styleId="NormalWeb">
    <w:name w:val="Normal (Web)"/>
    <w:basedOn w:val="Normal"/>
    <w:uiPriority w:val="99"/>
    <w:semiHidden/>
    <w:unhideWhenUsed/>
    <w:rsid w:val="00F541FA"/>
    <w:pPr>
      <w:spacing w:before="100" w:beforeAutospacing="1" w:after="100" w:afterAutospacing="1"/>
      <w:ind w:firstLine="0"/>
      <w:jc w:val="left"/>
    </w:pPr>
    <w:rPr>
      <w:rFonts w:eastAsiaTheme="minorEastAsia"/>
    </w:rPr>
  </w:style>
  <w:style w:type="paragraph" w:styleId="ListBullet">
    <w:name w:val="List Bullet"/>
    <w:aliases w:val="Bullets"/>
    <w:basedOn w:val="Normal"/>
    <w:uiPriority w:val="4"/>
    <w:qFormat/>
    <w:rsid w:val="002120F5"/>
    <w:pPr>
      <w:ind w:firstLine="0"/>
      <w:contextualSpacing/>
      <w:jc w:val="left"/>
    </w:pPr>
    <w:rPr>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nhideWhenUsed="0" w:qFormat="1"/>
    <w:lsdException w:name="footnote reference" w:uiPriority="0" w:qFormat="1"/>
    <w:lsdException w:name="List Bullet" w:uiPriority="4" w:qFormat="1"/>
    <w:lsdException w:name="Title" w:semiHidden="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D30D2"/>
    <w:pPr>
      <w:ind w:firstLine="720"/>
      <w:jc w:val="both"/>
    </w:pPr>
    <w:rPr>
      <w:sz w:val="24"/>
      <w:szCs w:val="24"/>
    </w:rPr>
  </w:style>
  <w:style w:type="paragraph" w:styleId="Heading1">
    <w:name w:val="heading 1"/>
    <w:basedOn w:val="Normal"/>
    <w:next w:val="Normal"/>
    <w:link w:val="Heading1Char"/>
    <w:uiPriority w:val="99"/>
    <w:qFormat/>
    <w:rsid w:val="00A561F8"/>
    <w:pPr>
      <w:keepNext/>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0"/>
    </w:pPr>
    <w:rPr>
      <w:b/>
      <w:bCs/>
      <w:sz w:val="28"/>
      <w:szCs w:val="28"/>
    </w:rPr>
  </w:style>
  <w:style w:type="paragraph" w:styleId="Heading2">
    <w:name w:val="heading 2"/>
    <w:basedOn w:val="Normal"/>
    <w:next w:val="Normal"/>
    <w:link w:val="Heading2Char"/>
    <w:uiPriority w:val="99"/>
    <w:qFormat/>
    <w:rsid w:val="00A561F8"/>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firstLine="0"/>
      <w:outlineLvl w:val="1"/>
    </w:pPr>
    <w:rPr>
      <w:b/>
      <w:bCs/>
    </w:rPr>
  </w:style>
  <w:style w:type="paragraph" w:styleId="Heading3">
    <w:name w:val="heading 3"/>
    <w:basedOn w:val="Normal"/>
    <w:next w:val="Normal"/>
    <w:link w:val="Heading3Char"/>
    <w:uiPriority w:val="99"/>
    <w:qFormat/>
    <w:rsid w:val="00A561F8"/>
    <w:pPr>
      <w:keepNext/>
      <w:ind w:firstLine="0"/>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E2BFE"/>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E2BFE"/>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E2BFE"/>
    <w:rPr>
      <w:rFonts w:ascii="Cambria" w:eastAsia="Times New Roman" w:hAnsi="Cambria" w:cs="Times New Roman"/>
      <w:b/>
      <w:bCs/>
      <w:sz w:val="26"/>
      <w:szCs w:val="26"/>
    </w:rPr>
  </w:style>
  <w:style w:type="paragraph" w:styleId="Title">
    <w:name w:val="Title"/>
    <w:basedOn w:val="Normal"/>
    <w:link w:val="TitleChar"/>
    <w:uiPriority w:val="99"/>
    <w:qFormat/>
    <w:rsid w:val="008B25DB"/>
    <w:pPr>
      <w:spacing w:after="240"/>
      <w:jc w:val="center"/>
      <w:outlineLvl w:val="0"/>
    </w:pPr>
    <w:rPr>
      <w:b/>
      <w:bCs/>
      <w:kern w:val="28"/>
      <w:sz w:val="28"/>
      <w:szCs w:val="28"/>
    </w:rPr>
  </w:style>
  <w:style w:type="character" w:customStyle="1" w:styleId="TitleChar">
    <w:name w:val="Title Char"/>
    <w:basedOn w:val="DefaultParagraphFont"/>
    <w:link w:val="Title"/>
    <w:uiPriority w:val="10"/>
    <w:rsid w:val="00BE2BFE"/>
    <w:rPr>
      <w:rFonts w:ascii="Cambria" w:eastAsia="Times New Roman" w:hAnsi="Cambria" w:cs="Times New Roman"/>
      <w:b/>
      <w:bCs/>
      <w:kern w:val="28"/>
      <w:sz w:val="32"/>
      <w:szCs w:val="32"/>
    </w:rPr>
  </w:style>
  <w:style w:type="paragraph" w:customStyle="1" w:styleId="authors">
    <w:name w:val="authors"/>
    <w:basedOn w:val="Heading3"/>
    <w:uiPriority w:val="99"/>
    <w:rsid w:val="008B25DB"/>
    <w:pPr>
      <w:widowControl w:val="0"/>
      <w:spacing w:after="480"/>
      <w:jc w:val="center"/>
    </w:pPr>
    <w:rPr>
      <w:i/>
      <w:iCs/>
    </w:rPr>
  </w:style>
  <w:style w:type="paragraph" w:customStyle="1" w:styleId="tabletitle">
    <w:name w:val="table title"/>
    <w:basedOn w:val="Normal"/>
    <w:uiPriority w:val="99"/>
    <w:rsid w:val="008B25DB"/>
    <w:pPr>
      <w:keepLines/>
      <w:jc w:val="center"/>
    </w:pPr>
    <w:rPr>
      <w:b/>
      <w:bCs/>
    </w:rPr>
  </w:style>
  <w:style w:type="paragraph" w:customStyle="1" w:styleId="abstractline">
    <w:name w:val="abstract line"/>
    <w:basedOn w:val="Title"/>
    <w:uiPriority w:val="99"/>
    <w:rsid w:val="008B25DB"/>
    <w:pPr>
      <w:ind w:firstLine="0"/>
      <w:jc w:val="left"/>
    </w:pPr>
    <w:rPr>
      <w:caps/>
      <w:sz w:val="24"/>
      <w:szCs w:val="24"/>
    </w:rPr>
  </w:style>
  <w:style w:type="paragraph" w:customStyle="1" w:styleId="references">
    <w:name w:val="references"/>
    <w:basedOn w:val="Normal"/>
    <w:uiPriority w:val="99"/>
    <w:rsid w:val="008B25DB"/>
    <w:pPr>
      <w:ind w:left="360" w:hanging="360"/>
    </w:pPr>
  </w:style>
  <w:style w:type="paragraph" w:customStyle="1" w:styleId="columntitle">
    <w:name w:val="column title"/>
    <w:basedOn w:val="tabletext"/>
    <w:uiPriority w:val="99"/>
    <w:rsid w:val="00A561F8"/>
    <w:pPr>
      <w:jc w:val="center"/>
    </w:pPr>
    <w:rPr>
      <w:b/>
      <w:bCs/>
    </w:rPr>
  </w:style>
  <w:style w:type="paragraph" w:customStyle="1" w:styleId="tabletext">
    <w:name w:val="table text"/>
    <w:basedOn w:val="tabletitle"/>
    <w:uiPriority w:val="99"/>
    <w:rsid w:val="00A561F8"/>
    <w:pPr>
      <w:jc w:val="left"/>
    </w:pPr>
    <w:rPr>
      <w:b w:val="0"/>
      <w:bCs w:val="0"/>
      <w:sz w:val="20"/>
      <w:szCs w:val="20"/>
    </w:rPr>
  </w:style>
  <w:style w:type="paragraph" w:customStyle="1" w:styleId="tablenotes">
    <w:name w:val="table notes"/>
    <w:basedOn w:val="tabletext"/>
    <w:uiPriority w:val="99"/>
    <w:rsid w:val="008B25DB"/>
    <w:pPr>
      <w:spacing w:after="240"/>
      <w:jc w:val="center"/>
    </w:pPr>
  </w:style>
  <w:style w:type="paragraph" w:customStyle="1" w:styleId="FigureTitle">
    <w:name w:val="Figure Title"/>
    <w:basedOn w:val="tabletitle"/>
    <w:uiPriority w:val="99"/>
    <w:rsid w:val="00A561F8"/>
  </w:style>
  <w:style w:type="paragraph" w:customStyle="1" w:styleId="figurenotes">
    <w:name w:val="figure notes"/>
    <w:basedOn w:val="tablenotes"/>
    <w:uiPriority w:val="99"/>
    <w:rsid w:val="008B25DB"/>
  </w:style>
  <w:style w:type="paragraph" w:styleId="Caption">
    <w:name w:val="caption"/>
    <w:basedOn w:val="Normal"/>
    <w:next w:val="Normal"/>
    <w:uiPriority w:val="99"/>
    <w:qFormat/>
    <w:rsid w:val="00C237A6"/>
    <w:pPr>
      <w:spacing w:before="120" w:after="120"/>
    </w:pPr>
    <w:rPr>
      <w:b/>
      <w:bCs/>
      <w:sz w:val="20"/>
      <w:szCs w:val="20"/>
    </w:rPr>
  </w:style>
  <w:style w:type="character" w:styleId="CommentReference">
    <w:name w:val="annotation reference"/>
    <w:basedOn w:val="DefaultParagraphFont"/>
    <w:uiPriority w:val="99"/>
    <w:semiHidden/>
    <w:rsid w:val="00D67FD6"/>
    <w:rPr>
      <w:sz w:val="16"/>
      <w:szCs w:val="16"/>
    </w:rPr>
  </w:style>
  <w:style w:type="paragraph" w:styleId="CommentText">
    <w:name w:val="annotation text"/>
    <w:basedOn w:val="Normal"/>
    <w:link w:val="CommentTextChar"/>
    <w:uiPriority w:val="99"/>
    <w:semiHidden/>
    <w:rsid w:val="00D67FD6"/>
    <w:rPr>
      <w:sz w:val="20"/>
      <w:szCs w:val="20"/>
    </w:rPr>
  </w:style>
  <w:style w:type="character" w:customStyle="1" w:styleId="CommentTextChar">
    <w:name w:val="Comment Text Char"/>
    <w:basedOn w:val="DefaultParagraphFont"/>
    <w:link w:val="CommentText"/>
    <w:uiPriority w:val="99"/>
    <w:semiHidden/>
    <w:rsid w:val="00BE2BFE"/>
    <w:rPr>
      <w:sz w:val="20"/>
      <w:szCs w:val="20"/>
    </w:rPr>
  </w:style>
  <w:style w:type="paragraph" w:styleId="CommentSubject">
    <w:name w:val="annotation subject"/>
    <w:basedOn w:val="CommentText"/>
    <w:next w:val="CommentText"/>
    <w:link w:val="CommentSubjectChar"/>
    <w:uiPriority w:val="99"/>
    <w:semiHidden/>
    <w:rsid w:val="00D67FD6"/>
    <w:rPr>
      <w:b/>
      <w:bCs/>
    </w:rPr>
  </w:style>
  <w:style w:type="character" w:customStyle="1" w:styleId="CommentSubjectChar">
    <w:name w:val="Comment Subject Char"/>
    <w:basedOn w:val="CommentTextChar"/>
    <w:link w:val="CommentSubject"/>
    <w:uiPriority w:val="99"/>
    <w:semiHidden/>
    <w:rsid w:val="00BE2BFE"/>
    <w:rPr>
      <w:b/>
      <w:bCs/>
      <w:sz w:val="20"/>
      <w:szCs w:val="20"/>
    </w:rPr>
  </w:style>
  <w:style w:type="paragraph" w:styleId="BalloonText">
    <w:name w:val="Balloon Text"/>
    <w:basedOn w:val="Normal"/>
    <w:link w:val="BalloonTextChar"/>
    <w:uiPriority w:val="99"/>
    <w:semiHidden/>
    <w:rsid w:val="00D67FD6"/>
    <w:rPr>
      <w:rFonts w:ascii="Tahoma" w:hAnsi="Tahoma" w:cs="Tahoma"/>
      <w:sz w:val="16"/>
      <w:szCs w:val="16"/>
    </w:rPr>
  </w:style>
  <w:style w:type="character" w:customStyle="1" w:styleId="BalloonTextChar">
    <w:name w:val="Balloon Text Char"/>
    <w:basedOn w:val="DefaultParagraphFont"/>
    <w:link w:val="BalloonText"/>
    <w:uiPriority w:val="99"/>
    <w:semiHidden/>
    <w:rsid w:val="00BE2BFE"/>
    <w:rPr>
      <w:sz w:val="0"/>
      <w:szCs w:val="0"/>
    </w:rPr>
  </w:style>
  <w:style w:type="paragraph" w:styleId="FootnoteText">
    <w:name w:val="footnote text"/>
    <w:basedOn w:val="Normal"/>
    <w:semiHidden/>
    <w:rsid w:val="0051291C"/>
    <w:rPr>
      <w:sz w:val="20"/>
      <w:szCs w:val="20"/>
    </w:rPr>
  </w:style>
  <w:style w:type="character" w:styleId="FootnoteReference">
    <w:name w:val="footnote reference"/>
    <w:basedOn w:val="DefaultParagraphFont"/>
    <w:qFormat/>
    <w:rsid w:val="0051291C"/>
    <w:rPr>
      <w:vertAlign w:val="superscript"/>
    </w:rPr>
  </w:style>
  <w:style w:type="character" w:styleId="Hyperlink">
    <w:name w:val="Hyperlink"/>
    <w:basedOn w:val="DefaultParagraphFont"/>
    <w:rsid w:val="001C6141"/>
    <w:rPr>
      <w:color w:val="0000FF"/>
      <w:u w:val="single"/>
    </w:rPr>
  </w:style>
  <w:style w:type="paragraph" w:styleId="Header">
    <w:name w:val="header"/>
    <w:basedOn w:val="Normal"/>
    <w:link w:val="HeaderChar"/>
    <w:uiPriority w:val="99"/>
    <w:unhideWhenUsed/>
    <w:rsid w:val="00B809EF"/>
    <w:pPr>
      <w:tabs>
        <w:tab w:val="center" w:pos="4680"/>
        <w:tab w:val="right" w:pos="9360"/>
      </w:tabs>
    </w:pPr>
  </w:style>
  <w:style w:type="character" w:customStyle="1" w:styleId="HeaderChar">
    <w:name w:val="Header Char"/>
    <w:basedOn w:val="DefaultParagraphFont"/>
    <w:link w:val="Header"/>
    <w:uiPriority w:val="99"/>
    <w:rsid w:val="00B809EF"/>
    <w:rPr>
      <w:sz w:val="24"/>
      <w:szCs w:val="24"/>
    </w:rPr>
  </w:style>
  <w:style w:type="paragraph" w:styleId="Footer">
    <w:name w:val="footer"/>
    <w:basedOn w:val="Normal"/>
    <w:link w:val="FooterChar"/>
    <w:uiPriority w:val="99"/>
    <w:unhideWhenUsed/>
    <w:rsid w:val="00B809EF"/>
    <w:pPr>
      <w:tabs>
        <w:tab w:val="center" w:pos="4680"/>
        <w:tab w:val="right" w:pos="9360"/>
      </w:tabs>
    </w:pPr>
  </w:style>
  <w:style w:type="character" w:customStyle="1" w:styleId="FooterChar">
    <w:name w:val="Footer Char"/>
    <w:basedOn w:val="DefaultParagraphFont"/>
    <w:link w:val="Footer"/>
    <w:uiPriority w:val="99"/>
    <w:rsid w:val="00B809EF"/>
    <w:rPr>
      <w:sz w:val="24"/>
      <w:szCs w:val="24"/>
    </w:rPr>
  </w:style>
  <w:style w:type="character" w:styleId="FollowedHyperlink">
    <w:name w:val="FollowedHyperlink"/>
    <w:basedOn w:val="DefaultParagraphFont"/>
    <w:uiPriority w:val="99"/>
    <w:semiHidden/>
    <w:unhideWhenUsed/>
    <w:rsid w:val="00BB4C3B"/>
    <w:rPr>
      <w:color w:val="800080" w:themeColor="followedHyperlink"/>
      <w:u w:val="single"/>
    </w:rPr>
  </w:style>
  <w:style w:type="paragraph" w:styleId="ListParagraph">
    <w:name w:val="List Paragraph"/>
    <w:basedOn w:val="Normal"/>
    <w:link w:val="ListParagraphChar"/>
    <w:uiPriority w:val="34"/>
    <w:qFormat/>
    <w:rsid w:val="005F4922"/>
    <w:pPr>
      <w:ind w:left="720" w:firstLine="0"/>
      <w:contextualSpacing/>
      <w:jc w:val="left"/>
    </w:pPr>
    <w:rPr>
      <w:rFonts w:ascii="Palatino Linotype" w:hAnsi="Palatino Linotype"/>
      <w:sz w:val="20"/>
    </w:rPr>
  </w:style>
  <w:style w:type="character" w:customStyle="1" w:styleId="ListParagraphChar">
    <w:name w:val="List Paragraph Char"/>
    <w:basedOn w:val="DefaultParagraphFont"/>
    <w:link w:val="ListParagraph"/>
    <w:uiPriority w:val="34"/>
    <w:rsid w:val="005F4922"/>
    <w:rPr>
      <w:rFonts w:ascii="Palatino Linotype" w:hAnsi="Palatino Linotype"/>
      <w:szCs w:val="24"/>
    </w:rPr>
  </w:style>
  <w:style w:type="paragraph" w:customStyle="1" w:styleId="Default">
    <w:name w:val="Default"/>
    <w:rsid w:val="000C0FA4"/>
    <w:pPr>
      <w:autoSpaceDE w:val="0"/>
      <w:autoSpaceDN w:val="0"/>
      <w:adjustRightInd w:val="0"/>
    </w:pPr>
    <w:rPr>
      <w:color w:val="000000"/>
      <w:sz w:val="24"/>
      <w:szCs w:val="24"/>
    </w:rPr>
  </w:style>
  <w:style w:type="paragraph" w:styleId="NormalWeb">
    <w:name w:val="Normal (Web)"/>
    <w:basedOn w:val="Normal"/>
    <w:uiPriority w:val="99"/>
    <w:semiHidden/>
    <w:unhideWhenUsed/>
    <w:rsid w:val="00F541FA"/>
    <w:pPr>
      <w:spacing w:before="100" w:beforeAutospacing="1" w:after="100" w:afterAutospacing="1"/>
      <w:ind w:firstLine="0"/>
      <w:jc w:val="left"/>
    </w:pPr>
    <w:rPr>
      <w:rFonts w:eastAsiaTheme="minorEastAsia"/>
    </w:rPr>
  </w:style>
  <w:style w:type="paragraph" w:styleId="ListBullet">
    <w:name w:val="List Bullet"/>
    <w:aliases w:val="Bullets"/>
    <w:basedOn w:val="Normal"/>
    <w:uiPriority w:val="4"/>
    <w:qFormat/>
    <w:rsid w:val="002120F5"/>
    <w:pPr>
      <w:ind w:firstLine="0"/>
      <w:contextualSpacing/>
      <w:jc w:val="left"/>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image" Target="media/image1.png"/><Relationship Id="rId18" Type="http://schemas.openxmlformats.org/officeDocument/2006/relationships/image" Target="media/image5.png"/><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4.pn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0.wmf"/><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24" Type="http://schemas.openxmlformats.org/officeDocument/2006/relationships/header" Target="header3.xml"/><Relationship Id="rId5" Type="http://schemas.openxmlformats.org/officeDocument/2006/relationships/customXml" Target="../customXml/item5.xml"/><Relationship Id="rId15" Type="http://schemas.openxmlformats.org/officeDocument/2006/relationships/image" Target="media/image3.wmf"/><Relationship Id="rId23" Type="http://schemas.openxmlformats.org/officeDocument/2006/relationships/footer" Target="footer2.xml"/><Relationship Id="rId10" Type="http://schemas.openxmlformats.org/officeDocument/2006/relationships/webSettings" Target="webSettings.xml"/><Relationship Id="rId19" Type="http://schemas.openxmlformats.org/officeDocument/2006/relationships/hyperlink" Target="http://www.nema.org/media/pr/20111216a.cfm" TargetMode="Externa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image" Target="media/image2.png"/><Relationship Id="rId22" Type="http://schemas.openxmlformats.org/officeDocument/2006/relationships/footer" Target="footer1.xml"/><Relationship Id="rId27"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nema.org/gov/energy/pos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8A3E35-217D-4849-9F41-768CC6A4EAE3}">
  <ds:schemaRefs>
    <ds:schemaRef ds:uri="http://schemas.openxmlformats.org/officeDocument/2006/bibliography"/>
  </ds:schemaRefs>
</ds:datastoreItem>
</file>

<file path=customXml/itemProps2.xml><?xml version="1.0" encoding="utf-8"?>
<ds:datastoreItem xmlns:ds="http://schemas.openxmlformats.org/officeDocument/2006/customXml" ds:itemID="{16BD5F67-8DAF-4015-980B-A0F54A0C51FA}">
  <ds:schemaRefs>
    <ds:schemaRef ds:uri="http://schemas.openxmlformats.org/officeDocument/2006/bibliography"/>
  </ds:schemaRefs>
</ds:datastoreItem>
</file>

<file path=customXml/itemProps3.xml><?xml version="1.0" encoding="utf-8"?>
<ds:datastoreItem xmlns:ds="http://schemas.openxmlformats.org/officeDocument/2006/customXml" ds:itemID="{11B949CD-4E1C-4991-B816-6E04D5097637}">
  <ds:schemaRefs>
    <ds:schemaRef ds:uri="http://schemas.openxmlformats.org/officeDocument/2006/bibliography"/>
  </ds:schemaRefs>
</ds:datastoreItem>
</file>

<file path=customXml/itemProps4.xml><?xml version="1.0" encoding="utf-8"?>
<ds:datastoreItem xmlns:ds="http://schemas.openxmlformats.org/officeDocument/2006/customXml" ds:itemID="{6ED02D0A-AA9A-420B-95DB-641BE617148B}">
  <ds:schemaRefs>
    <ds:schemaRef ds:uri="http://schemas.openxmlformats.org/officeDocument/2006/bibliography"/>
  </ds:schemaRefs>
</ds:datastoreItem>
</file>

<file path=customXml/itemProps5.xml><?xml version="1.0" encoding="utf-8"?>
<ds:datastoreItem xmlns:ds="http://schemas.openxmlformats.org/officeDocument/2006/customXml" ds:itemID="{30044144-1402-40CA-B2EC-71FB03E06B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4393</Words>
  <Characters>24850</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29185</CharactersWithSpaces>
  <SharedDoc>false</SharedDoc>
  <HLinks>
    <vt:vector size="6" baseType="variant">
      <vt:variant>
        <vt:i4>1376260</vt:i4>
      </vt:variant>
      <vt:variant>
        <vt:i4>0</vt:i4>
      </vt:variant>
      <vt:variant>
        <vt:i4>0</vt:i4>
      </vt:variant>
      <vt:variant>
        <vt:i4>5</vt:i4>
      </vt:variant>
      <vt:variant>
        <vt:lpwstr>http://www.nema.org/gov/energy/positions/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2014-05-16T17:47:00Z</dcterms:created>
  <dcterms:modified xsi:type="dcterms:W3CDTF">2014-05-19T15:00:00Z</dcterms:modified>
</cp:coreProperties>
</file>